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C7A10" w:rsidR="006C7A10" w:rsidP="00FC487F" w:rsidRDefault="006C7A10" w14:paraId="500A3D82" w14:textId="5E37A375">
      <w:pPr>
        <w:jc w:val="center"/>
        <w:rPr>
          <w:b w:val="1"/>
          <w:bCs w:val="1"/>
        </w:rPr>
      </w:pPr>
      <w:r w:rsidRPr="2F4E4C59" w:rsidR="2F4E4C59">
        <w:rPr>
          <w:b w:val="1"/>
          <w:bCs w:val="1"/>
        </w:rPr>
        <w:t>Control of Substances Hazardous to Health Regulations (COSHH)</w:t>
      </w:r>
    </w:p>
    <w:p w:rsidRPr="006C7A10" w:rsidR="006C7A10" w:rsidP="006C7A10" w:rsidRDefault="006C7A10" w14:paraId="33E6869C" w14:textId="77777777">
      <w:pPr>
        <w:rPr>
          <w:b/>
          <w:bCs/>
        </w:rPr>
      </w:pPr>
    </w:p>
    <w:p w:rsidRPr="006C7A10" w:rsidR="006C7A10" w:rsidP="00F24ECC" w:rsidRDefault="006C7A10" w14:paraId="2DC6D51B" w14:textId="515EDF7F">
      <w:pPr>
        <w:jc w:val="center"/>
        <w:rPr>
          <w:b/>
          <w:bCs/>
        </w:rPr>
      </w:pPr>
      <w:r w:rsidRPr="006C7A10">
        <w:rPr>
          <w:b/>
          <w:bCs/>
        </w:rPr>
        <w:t>Risk Assessment</w:t>
      </w:r>
      <w:r w:rsidR="00FC487F">
        <w:rPr>
          <w:b/>
          <w:bCs/>
        </w:rPr>
        <w:t xml:space="preserve"> and Sa</w:t>
      </w:r>
      <w:r w:rsidR="00B01A8A">
        <w:rPr>
          <w:b/>
          <w:bCs/>
        </w:rPr>
        <w:t>fety Rules</w:t>
      </w:r>
      <w:r w:rsidRPr="006C7A10">
        <w:rPr>
          <w:b/>
          <w:bCs/>
        </w:rPr>
        <w:t>.</w:t>
      </w:r>
    </w:p>
    <w:p w:rsidR="006C7A10" w:rsidP="00F24ECC" w:rsidRDefault="006C7A10" w14:paraId="3FEA3CC2" w14:textId="77777777">
      <w:pPr>
        <w:jc w:val="center"/>
      </w:pPr>
    </w:p>
    <w:p w:rsidR="006C7A10" w:rsidP="006C7A10" w:rsidRDefault="006C7A10" w14:paraId="6B3AC51B" w14:textId="62C1FD18">
      <w:r>
        <w:t>The law requires a business, which uses substances that might cause harm to health, to control the risk to its employees</w:t>
      </w:r>
      <w:r w:rsidR="00E6388D">
        <w:t xml:space="preserve"> and hall users</w:t>
      </w:r>
      <w:r>
        <w:t>. APFVH Management Committee have assessed the risk relating to products stored and used at the premises. The Committee have assessed the risks to health associated with</w:t>
      </w:r>
      <w:r w:rsidR="00E6388D">
        <w:t xml:space="preserve"> below</w:t>
      </w:r>
      <w:r>
        <w:t xml:space="preserve"> list of products. </w:t>
      </w:r>
    </w:p>
    <w:p w:rsidR="006C7A10" w:rsidP="006C7A10" w:rsidRDefault="006C7A10" w14:paraId="48A899F0" w14:textId="77777777"/>
    <w:p w:rsidR="006C7A10" w:rsidP="006C7A10" w:rsidRDefault="00E6388D" w14:paraId="691ED574" w14:textId="73D4279D">
      <w:r>
        <w:t>The risk</w:t>
      </w:r>
      <w:r w:rsidR="006C7A10">
        <w:t xml:space="preserve"> assessment will </w:t>
      </w:r>
      <w:r>
        <w:t>be reviewed</w:t>
      </w:r>
      <w:r w:rsidR="006C7A10">
        <w:t xml:space="preserve"> annually </w:t>
      </w:r>
      <w:r>
        <w:t>to ensure</w:t>
      </w:r>
      <w:r w:rsidR="006C7A10">
        <w:t xml:space="preserve"> that it </w:t>
      </w:r>
      <w:r>
        <w:t>is kept</w:t>
      </w:r>
      <w:r w:rsidR="006C7A10">
        <w:t xml:space="preserve"> up to date. </w:t>
      </w:r>
      <w:r>
        <w:t xml:space="preserve">The Charity Manager must be consulted if any products not listed below are to be stored or used at the premises. </w:t>
      </w:r>
      <w:r w:rsidR="006C7A10">
        <w:t xml:space="preserve"> </w:t>
      </w:r>
    </w:p>
    <w:p w:rsidR="006C7A10" w:rsidP="006C7A10" w:rsidRDefault="006C7A10" w14:paraId="5EEFA020" w14:textId="77777777"/>
    <w:p w:rsidR="006C7A10" w:rsidP="006C7A10" w:rsidRDefault="006C7A10" w14:paraId="64AE7C5B" w14:textId="40F10E8F">
      <w:r w:rsidRPr="00010BFF">
        <w:rPr>
          <w:b/>
          <w:bCs/>
        </w:rPr>
        <w:t xml:space="preserve">Identification of the </w:t>
      </w:r>
      <w:r w:rsidRPr="00010BFF" w:rsidR="00E6388D">
        <w:rPr>
          <w:b/>
          <w:bCs/>
        </w:rPr>
        <w:t>hazardous</w:t>
      </w:r>
      <w:r w:rsidRPr="00010BFF">
        <w:rPr>
          <w:b/>
          <w:bCs/>
        </w:rPr>
        <w:t xml:space="preserve"> </w:t>
      </w:r>
      <w:r w:rsidRPr="00010BFF" w:rsidR="00E6388D">
        <w:rPr>
          <w:b/>
          <w:bCs/>
        </w:rPr>
        <w:t>products</w:t>
      </w:r>
      <w:r w:rsidR="00E6388D">
        <w:t>.</w:t>
      </w:r>
    </w:p>
    <w:p w:rsidR="006C7A10" w:rsidP="006C7A10" w:rsidRDefault="00E6388D" w14:paraId="06D99773" w14:textId="0B9D69F0">
      <w:r>
        <w:t>The only</w:t>
      </w:r>
      <w:r w:rsidR="006C7A10">
        <w:t xml:space="preserve"> </w:t>
      </w:r>
      <w:r>
        <w:t>substances authorised to be used</w:t>
      </w:r>
      <w:r w:rsidR="006C7A10">
        <w:t xml:space="preserve"> in </w:t>
      </w:r>
      <w:r>
        <w:t>the village hall are</w:t>
      </w:r>
      <w:r w:rsidR="006C7A10">
        <w:t xml:space="preserve"> </w:t>
      </w:r>
      <w:r w:rsidR="007278D7">
        <w:t xml:space="preserve">general </w:t>
      </w:r>
      <w:r>
        <w:t xml:space="preserve">household </w:t>
      </w:r>
      <w:r w:rsidR="006C7A10">
        <w:t xml:space="preserve">cleaning products. </w:t>
      </w:r>
      <w:r>
        <w:t>These include</w:t>
      </w:r>
      <w:r w:rsidR="00B008A0">
        <w:t>:</w:t>
      </w:r>
      <w:r w:rsidR="006C7A10">
        <w:t xml:space="preserve"> </w:t>
      </w:r>
    </w:p>
    <w:p w:rsidR="006C7A10" w:rsidP="006C7A10" w:rsidRDefault="006C7A10" w14:paraId="161BE1C5" w14:textId="636E446F">
      <w:r>
        <w:t xml:space="preserve">                      </w:t>
      </w:r>
      <w:r w:rsidR="00B008A0">
        <w:tab/>
      </w:r>
      <w:r w:rsidR="00B008A0">
        <w:tab/>
      </w:r>
      <w:r w:rsidR="00854146">
        <w:t>Floor Cleaner</w:t>
      </w:r>
    </w:p>
    <w:p w:rsidR="006C7A10" w:rsidP="00B008A0" w:rsidRDefault="006C7A10" w14:paraId="46B0F9CA" w14:textId="65672377">
      <w:pPr>
        <w:ind w:left="1440"/>
      </w:pPr>
      <w:r>
        <w:t xml:space="preserve">                      </w:t>
      </w:r>
      <w:r w:rsidR="00854146">
        <w:t>Toilet Cleaner</w:t>
      </w:r>
      <w:r>
        <w:t xml:space="preserve"> </w:t>
      </w:r>
    </w:p>
    <w:p w:rsidR="006C7A10" w:rsidP="00B008A0" w:rsidRDefault="006C7A10" w14:paraId="4F61890B" w14:textId="2C4A5DF8">
      <w:pPr>
        <w:ind w:left="1440"/>
      </w:pPr>
      <w:r>
        <w:t xml:space="preserve">                  </w:t>
      </w:r>
      <w:r w:rsidR="00E6388D">
        <w:tab/>
      </w:r>
      <w:r w:rsidR="00E6388D">
        <w:t>Washing Up</w:t>
      </w:r>
      <w:r>
        <w:t xml:space="preserve"> Liquid </w:t>
      </w:r>
    </w:p>
    <w:p w:rsidR="00630816" w:rsidP="00B008A0" w:rsidRDefault="00630816" w14:paraId="08034305" w14:textId="43CD5F42">
      <w:pPr>
        <w:ind w:left="1440"/>
      </w:pPr>
      <w:r>
        <w:tab/>
      </w:r>
      <w:r>
        <w:tab/>
      </w:r>
      <w:r w:rsidR="00364D38">
        <w:t>Hand Wash Soap</w:t>
      </w:r>
    </w:p>
    <w:p w:rsidR="00E6388D" w:rsidP="00B008A0" w:rsidRDefault="006C7A10" w14:paraId="02B5F989" w14:textId="77777777">
      <w:pPr>
        <w:ind w:left="1440"/>
      </w:pPr>
      <w:r>
        <w:t xml:space="preserve">            </w:t>
      </w:r>
      <w:r w:rsidR="00E6388D">
        <w:tab/>
      </w:r>
      <w:r>
        <w:t>Surface Cleaner</w:t>
      </w:r>
    </w:p>
    <w:p w:rsidR="006C7A10" w:rsidP="00B008A0" w:rsidRDefault="006C7A10" w14:paraId="5732FB83" w14:textId="17B696F0">
      <w:pPr>
        <w:ind w:left="2160" w:firstLine="720"/>
      </w:pPr>
      <w:r>
        <w:t>Bleach</w:t>
      </w:r>
      <w:r w:rsidR="00364D38">
        <w:t xml:space="preserve"> (Hous</w:t>
      </w:r>
      <w:r w:rsidR="00B47E4D">
        <w:t>ehold)</w:t>
      </w:r>
      <w:r>
        <w:t xml:space="preserve"> </w:t>
      </w:r>
    </w:p>
    <w:p w:rsidR="006C7A10" w:rsidP="00B008A0" w:rsidRDefault="006C7A10" w14:paraId="2700B574" w14:textId="3AB89989">
      <w:pPr>
        <w:ind w:left="1440"/>
      </w:pPr>
      <w:r>
        <w:t xml:space="preserve">                  </w:t>
      </w:r>
      <w:r w:rsidR="00854146">
        <w:tab/>
      </w:r>
      <w:r>
        <w:t xml:space="preserve">Dishwasher Tablets </w:t>
      </w:r>
    </w:p>
    <w:p w:rsidR="006C7A10" w:rsidP="00B008A0" w:rsidRDefault="006C7A10" w14:paraId="211966A0" w14:textId="1B426D36">
      <w:pPr>
        <w:ind w:left="1440"/>
      </w:pPr>
      <w:r>
        <w:t xml:space="preserve">                  </w:t>
      </w:r>
      <w:r w:rsidR="00854146">
        <w:tab/>
      </w:r>
      <w:r>
        <w:t xml:space="preserve">Rinse Aid </w:t>
      </w:r>
      <w:r w:rsidR="00B47E4D">
        <w:t>for Dishwasher</w:t>
      </w:r>
    </w:p>
    <w:p w:rsidR="00854146" w:rsidP="00B008A0" w:rsidRDefault="006C7A10" w14:paraId="0DEABF81" w14:textId="77777777">
      <w:pPr>
        <w:ind w:left="1440"/>
      </w:pPr>
      <w:r>
        <w:t xml:space="preserve">                  </w:t>
      </w:r>
      <w:r w:rsidR="00854146">
        <w:tab/>
      </w:r>
      <w:r>
        <w:t>Dishwasher Sal</w:t>
      </w:r>
      <w:r w:rsidR="00854146">
        <w:t>t</w:t>
      </w:r>
    </w:p>
    <w:p w:rsidR="006C7A10" w:rsidP="00B008A0" w:rsidRDefault="00854146" w14:paraId="44C7C20D" w14:textId="189377DC">
      <w:pPr>
        <w:ind w:left="1440"/>
      </w:pPr>
      <w:r>
        <w:tab/>
      </w:r>
      <w:r>
        <w:tab/>
      </w:r>
      <w:r>
        <w:t>Lime Scale Remover</w:t>
      </w:r>
      <w:r w:rsidR="006C7A10">
        <w:t xml:space="preserve"> </w:t>
      </w:r>
    </w:p>
    <w:p w:rsidR="006C7A10" w:rsidP="006C7A10" w:rsidRDefault="006C7A10" w14:paraId="3E6C460A" w14:textId="77777777"/>
    <w:p w:rsidR="006C7A10" w:rsidP="006C7A10" w:rsidRDefault="006C7A10" w14:paraId="12B7F6AE" w14:textId="3B4107E8">
      <w:r>
        <w:t xml:space="preserve">All </w:t>
      </w:r>
      <w:r w:rsidR="00854146">
        <w:t>the</w:t>
      </w:r>
      <w:r w:rsidR="004E3DAA">
        <w:t xml:space="preserve"> above</w:t>
      </w:r>
      <w:r w:rsidR="00854146">
        <w:t xml:space="preserve"> </w:t>
      </w:r>
      <w:r w:rsidR="00010BFF">
        <w:t xml:space="preserve">listed </w:t>
      </w:r>
      <w:r w:rsidR="00854146">
        <w:t>substances/products are</w:t>
      </w:r>
      <w:r>
        <w:t xml:space="preserve"> commonly used in domestic </w:t>
      </w:r>
      <w:r w:rsidR="00854146">
        <w:t>settings and</w:t>
      </w:r>
      <w:r>
        <w:t xml:space="preserve"> </w:t>
      </w:r>
      <w:r w:rsidR="00854146">
        <w:t>will therefore</w:t>
      </w:r>
      <w:r>
        <w:t xml:space="preserve"> </w:t>
      </w:r>
      <w:r w:rsidR="00854146">
        <w:t>be familiar</w:t>
      </w:r>
      <w:r>
        <w:t xml:space="preserve"> to </w:t>
      </w:r>
      <w:r w:rsidR="00854146">
        <w:t>anyone using</w:t>
      </w:r>
      <w:r>
        <w:t xml:space="preserve"> them in the village hall. </w:t>
      </w:r>
    </w:p>
    <w:p w:rsidR="00854146" w:rsidP="006C7A10" w:rsidRDefault="00854146" w14:paraId="1A3690A9" w14:textId="39F138FF">
      <w:r>
        <w:t>Providing the substances are used in accordance with the manufacturer’s instruction, risks to users are minimal.</w:t>
      </w:r>
    </w:p>
    <w:p w:rsidR="006C7A10" w:rsidP="006C7A10" w:rsidRDefault="006C7A10" w14:paraId="367F33F9" w14:textId="77777777"/>
    <w:p w:rsidRPr="00010BFF" w:rsidR="006C7A10" w:rsidP="006C7A10" w:rsidRDefault="00925ECE" w14:paraId="2D2AACC2" w14:textId="7AC86B46">
      <w:pPr>
        <w:rPr>
          <w:b/>
          <w:bCs/>
        </w:rPr>
      </w:pPr>
      <w:r w:rsidRPr="00010BFF">
        <w:rPr>
          <w:b/>
          <w:bCs/>
        </w:rPr>
        <w:t>Who might be</w:t>
      </w:r>
      <w:r w:rsidRPr="00010BFF" w:rsidR="006C7A10">
        <w:rPr>
          <w:b/>
          <w:bCs/>
        </w:rPr>
        <w:t xml:space="preserve"> harmed and how? </w:t>
      </w:r>
    </w:p>
    <w:p w:rsidR="006C7A10" w:rsidP="006C7A10" w:rsidRDefault="00854146" w14:paraId="011F7CDC" w14:textId="0F7769E3">
      <w:r w:rsidR="2F4E4C59">
        <w:rPr/>
        <w:t>The regular</w:t>
      </w:r>
      <w:r w:rsidR="2F4E4C59">
        <w:rPr/>
        <w:t xml:space="preserve"> user of all these substances is limited to the contract cleaner, which could be several times per week</w:t>
      </w:r>
      <w:r w:rsidR="2F4E4C59">
        <w:rPr/>
        <w:t xml:space="preserve">.  </w:t>
      </w:r>
      <w:r w:rsidR="2F4E4C59">
        <w:rPr/>
        <w:t>Hall users</w:t>
      </w:r>
      <w:r w:rsidR="2F4E4C59">
        <w:rPr/>
        <w:t xml:space="preserve"> and committee members</w:t>
      </w:r>
      <w:r w:rsidR="2F4E4C59">
        <w:rPr/>
        <w:t xml:space="preserve"> might </w:t>
      </w:r>
      <w:r w:rsidR="2F4E4C59">
        <w:rPr/>
        <w:t>come into</w:t>
      </w:r>
      <w:r w:rsidR="2F4E4C59">
        <w:rPr/>
        <w:t xml:space="preserve"> contact with</w:t>
      </w:r>
      <w:r w:rsidR="2F4E4C59">
        <w:rPr/>
        <w:t xml:space="preserve"> some substances on an irregular once </w:t>
      </w:r>
      <w:r w:rsidR="2F4E4C59">
        <w:rPr/>
        <w:t xml:space="preserve">or twice </w:t>
      </w:r>
      <w:r w:rsidR="2F4E4C59">
        <w:rPr/>
        <w:t xml:space="preserve">per week basis or less.  </w:t>
      </w:r>
    </w:p>
    <w:p w:rsidR="006C7A10" w:rsidP="006C7A10" w:rsidRDefault="006C7A10" w14:paraId="3005BD18" w14:textId="77777777"/>
    <w:p w:rsidR="006C7A10" w:rsidP="005D67AB" w:rsidRDefault="00854146" w14:paraId="67340BE6" w14:textId="3B608C34">
      <w:pPr>
        <w:pStyle w:val="ListParagraph"/>
        <w:numPr>
          <w:ilvl w:val="0"/>
          <w:numId w:val="1"/>
        </w:numPr>
      </w:pPr>
      <w:r>
        <w:t>Substances could</w:t>
      </w:r>
      <w:r w:rsidR="006C7A10">
        <w:t xml:space="preserve"> splash onto skin, into eyes or mouth. Liquids could </w:t>
      </w:r>
      <w:r>
        <w:t xml:space="preserve">be accidently consumed </w:t>
      </w:r>
      <w:r w:rsidR="006C7A10">
        <w:t xml:space="preserve">orally. </w:t>
      </w:r>
    </w:p>
    <w:p w:rsidR="006C7A10" w:rsidP="005D67AB" w:rsidRDefault="006C7A10" w14:paraId="52B95527" w14:textId="065AF0FA">
      <w:pPr>
        <w:pStyle w:val="ListParagraph"/>
        <w:numPr>
          <w:ilvl w:val="0"/>
          <w:numId w:val="1"/>
        </w:numPr>
      </w:pPr>
      <w:r>
        <w:t xml:space="preserve">Small splashes onto the skin can be washed off with water without harm </w:t>
      </w:r>
      <w:r w:rsidR="00854146">
        <w:t>being suffered</w:t>
      </w:r>
      <w:r>
        <w:t xml:space="preserve">. </w:t>
      </w:r>
    </w:p>
    <w:p w:rsidR="006E09C6" w:rsidP="005D67AB" w:rsidRDefault="00854146" w14:paraId="21BC2C19" w14:textId="77777777">
      <w:pPr>
        <w:pStyle w:val="ListParagraph"/>
        <w:numPr>
          <w:ilvl w:val="0"/>
          <w:numId w:val="1"/>
        </w:numPr>
      </w:pPr>
      <w:r>
        <w:t xml:space="preserve">Small </w:t>
      </w:r>
      <w:r w:rsidR="00575CAD">
        <w:t>splashes into</w:t>
      </w:r>
      <w:r w:rsidR="006C7A10">
        <w:t xml:space="preserve"> the eye can be irrigated with water and small splashes </w:t>
      </w:r>
      <w:r w:rsidR="00575CAD">
        <w:t>into the</w:t>
      </w:r>
      <w:r w:rsidR="006C7A10">
        <w:t xml:space="preserve"> mouth can be washed </w:t>
      </w:r>
      <w:r w:rsidR="00575CAD">
        <w:t>out with</w:t>
      </w:r>
      <w:r w:rsidR="006C7A10">
        <w:t xml:space="preserve"> water. </w:t>
      </w:r>
    </w:p>
    <w:p w:rsidR="006C7A10" w:rsidP="005D67AB" w:rsidRDefault="00575CAD" w14:paraId="56A32830" w14:textId="2A7D3DE4">
      <w:pPr>
        <w:pStyle w:val="ListParagraph"/>
        <w:numPr>
          <w:ilvl w:val="0"/>
          <w:numId w:val="1"/>
        </w:numPr>
      </w:pPr>
      <w:r>
        <w:t>Small levels of</w:t>
      </w:r>
      <w:r w:rsidR="006C7A10">
        <w:t xml:space="preserve"> exposure onto </w:t>
      </w:r>
      <w:r>
        <w:t>the skin</w:t>
      </w:r>
      <w:r w:rsidR="006C7A10">
        <w:t xml:space="preserve">, </w:t>
      </w:r>
      <w:r>
        <w:t>into the</w:t>
      </w:r>
      <w:r w:rsidR="006C7A10">
        <w:t xml:space="preserve"> mouth or into eyes will have no lasting detrimental effect on the users if washed or irrigated immediately. </w:t>
      </w:r>
    </w:p>
    <w:p w:rsidR="006C7A10" w:rsidP="006C7A10" w:rsidRDefault="006C7A10" w14:paraId="4C4992C1" w14:textId="77777777"/>
    <w:p w:rsidR="006C7A10" w:rsidP="006C7A10" w:rsidRDefault="006C7A10" w14:paraId="3D8FD460" w14:textId="515D3FA2">
      <w:r>
        <w:t xml:space="preserve">Wilful misuse could lead </w:t>
      </w:r>
      <w:r w:rsidR="00575CAD">
        <w:t>to much</w:t>
      </w:r>
      <w:r>
        <w:t xml:space="preserve"> more serious harm resulting in hospitalisation </w:t>
      </w:r>
    </w:p>
    <w:p w:rsidR="006C7A10" w:rsidP="006C7A10" w:rsidRDefault="006C7A10" w14:paraId="51D32DAE" w14:textId="77777777"/>
    <w:p w:rsidRPr="006E09C6" w:rsidR="006C7A10" w:rsidP="006C7A10" w:rsidRDefault="00575CAD" w14:paraId="2D8C5F01" w14:textId="6E88877E">
      <w:pPr>
        <w:rPr>
          <w:b/>
          <w:bCs/>
        </w:rPr>
      </w:pPr>
      <w:r w:rsidRPr="006E09C6">
        <w:rPr>
          <w:b/>
          <w:bCs/>
        </w:rPr>
        <w:t>What are</w:t>
      </w:r>
      <w:r w:rsidRPr="006E09C6" w:rsidR="006C7A10">
        <w:rPr>
          <w:b/>
          <w:bCs/>
        </w:rPr>
        <w:t xml:space="preserve"> the risks? </w:t>
      </w:r>
    </w:p>
    <w:p w:rsidR="006C7A10" w:rsidP="006C7A10" w:rsidRDefault="006C7A10" w14:paraId="7D256753" w14:textId="77777777"/>
    <w:p w:rsidR="006C7A10" w:rsidP="006C7A10" w:rsidRDefault="00B1623B" w14:paraId="1EF9E3AD" w14:textId="54D476F5">
      <w:r w:rsidR="2F4E4C59">
        <w:rPr/>
        <w:t>Misuse of products</w:t>
      </w:r>
      <w:r w:rsidR="2F4E4C59">
        <w:rPr/>
        <w:t xml:space="preserve">. </w:t>
      </w:r>
      <w:r w:rsidR="2F4E4C59">
        <w:rPr/>
        <w:t>If used</w:t>
      </w:r>
      <w:r w:rsidR="2F4E4C59">
        <w:rPr/>
        <w:t xml:space="preserve"> </w:t>
      </w:r>
      <w:r w:rsidR="2F4E4C59">
        <w:rPr/>
        <w:t>in accordance with</w:t>
      </w:r>
      <w:r w:rsidR="2F4E4C59">
        <w:rPr/>
        <w:t xml:space="preserve"> the manufacturer’s instruction, users</w:t>
      </w:r>
      <w:r w:rsidR="2F4E4C59">
        <w:rPr/>
        <w:t xml:space="preserve"> should</w:t>
      </w:r>
      <w:r w:rsidR="2F4E4C59">
        <w:rPr/>
        <w:t xml:space="preserve"> not be exposed to risk.  </w:t>
      </w:r>
    </w:p>
    <w:p w:rsidR="006C7A10" w:rsidP="00575CAD" w:rsidRDefault="00575CAD" w14:paraId="393E61E4" w14:textId="37BD738E">
      <w:r>
        <w:t>As the</w:t>
      </w:r>
      <w:r w:rsidR="006C7A10">
        <w:t xml:space="preserve"> substances being used in the village hall are commonly found in domestic settings, their risk will b</w:t>
      </w:r>
      <w:r>
        <w:t>e</w:t>
      </w:r>
      <w:r w:rsidR="006C7A10">
        <w:t xml:space="preserve"> familiar to anyone using them.  </w:t>
      </w:r>
    </w:p>
    <w:p w:rsidR="00980162" w:rsidP="00575CAD" w:rsidRDefault="00980162" w14:paraId="6C2072A2" w14:textId="1E11582E">
      <w:r>
        <w:t xml:space="preserve">Substances, especially </w:t>
      </w:r>
      <w:r w:rsidR="00A66343">
        <w:t>bleach</w:t>
      </w:r>
      <w:r w:rsidR="00DB25E3">
        <w:t xml:space="preserve"> are not locked away in the store </w:t>
      </w:r>
      <w:r w:rsidR="00A66343">
        <w:t>cupboard</w:t>
      </w:r>
      <w:r w:rsidR="00DB25E3">
        <w:t>.</w:t>
      </w:r>
    </w:p>
    <w:p w:rsidR="006C7A10" w:rsidP="006C7A10" w:rsidRDefault="006C7A10" w14:paraId="293E347B" w14:textId="77777777"/>
    <w:p w:rsidRPr="00010BFF" w:rsidR="006C7A10" w:rsidP="006C7A10" w:rsidRDefault="00575CAD" w14:paraId="335D8E61" w14:textId="3F3BF0DA">
      <w:pPr>
        <w:rPr>
          <w:b/>
          <w:bCs/>
        </w:rPr>
      </w:pPr>
      <w:r w:rsidRPr="00575CAD">
        <w:rPr>
          <w:b/>
          <w:bCs/>
        </w:rPr>
        <w:t>Systems of</w:t>
      </w:r>
      <w:r w:rsidRPr="00575CAD" w:rsidR="006C7A10">
        <w:rPr>
          <w:b/>
          <w:bCs/>
        </w:rPr>
        <w:t xml:space="preserve"> work </w:t>
      </w:r>
      <w:r w:rsidR="009F4FAD">
        <w:rPr>
          <w:b/>
          <w:bCs/>
        </w:rPr>
        <w:t>and safety rules</w:t>
      </w:r>
    </w:p>
    <w:p w:rsidR="00925ECE" w:rsidP="006C7A10" w:rsidRDefault="00575CAD" w14:paraId="0C27E80C" w14:textId="07A677AA">
      <w:r>
        <w:t>A small supply of w</w:t>
      </w:r>
      <w:r w:rsidR="006C7A10">
        <w:t>ashing up liquid</w:t>
      </w:r>
      <w:r>
        <w:t>,</w:t>
      </w:r>
      <w:r w:rsidR="006C7A10">
        <w:t xml:space="preserve"> dishwasher materials </w:t>
      </w:r>
      <w:r>
        <w:t xml:space="preserve">and surface cleaners </w:t>
      </w:r>
      <w:r w:rsidR="00D96FF5">
        <w:t>is</w:t>
      </w:r>
      <w:r w:rsidR="006C7A10">
        <w:t xml:space="preserve"> kept in the kitchen</w:t>
      </w:r>
      <w:r>
        <w:t>, a</w:t>
      </w:r>
      <w:r w:rsidR="006C7A10">
        <w:t>s they could be used, albeit occasionally, by hall users</w:t>
      </w:r>
      <w:r w:rsidR="00925ECE">
        <w:t xml:space="preserve"> hiring the kitchen</w:t>
      </w:r>
      <w:r w:rsidR="006C7A10">
        <w:t xml:space="preserve">. </w:t>
      </w:r>
    </w:p>
    <w:p w:rsidR="006C7A10" w:rsidP="006C7A10" w:rsidRDefault="006C7A10" w14:paraId="0B2454C9" w14:textId="77777777"/>
    <w:p w:rsidR="003D1750" w:rsidP="006C7A10" w:rsidRDefault="009D61E3" w14:paraId="6A249275" w14:textId="01DD71F5">
      <w:r w:rsidR="2F4E4C59">
        <w:rPr/>
        <w:t>A stock of the approved</w:t>
      </w:r>
      <w:r w:rsidR="2F4E4C59">
        <w:rPr/>
        <w:t xml:space="preserve"> </w:t>
      </w:r>
      <w:r w:rsidR="2F4E4C59">
        <w:rPr/>
        <w:t xml:space="preserve">substances </w:t>
      </w:r>
      <w:r w:rsidR="2F4E4C59">
        <w:rPr/>
        <w:t>is</w:t>
      </w:r>
      <w:r w:rsidR="2F4E4C59">
        <w:rPr/>
        <w:t xml:space="preserve"> kept</w:t>
      </w:r>
      <w:r w:rsidR="2F4E4C59">
        <w:rPr/>
        <w:t xml:space="preserve"> locked</w:t>
      </w:r>
      <w:r w:rsidR="2F4E4C59">
        <w:rPr/>
        <w:t xml:space="preserve"> in the </w:t>
      </w:r>
      <w:r w:rsidR="2F4E4C59">
        <w:rPr/>
        <w:t xml:space="preserve">cleaner’s cupboard. </w:t>
      </w:r>
      <w:r w:rsidR="2F4E4C59">
        <w:rPr/>
        <w:t xml:space="preserve"> The </w:t>
      </w:r>
      <w:r w:rsidR="2F4E4C59">
        <w:rPr/>
        <w:t xml:space="preserve">key to the </w:t>
      </w:r>
      <w:r w:rsidR="2F4E4C59">
        <w:rPr/>
        <w:t>cupboard</w:t>
      </w:r>
      <w:r w:rsidR="2F4E4C59">
        <w:rPr/>
        <w:t xml:space="preserve"> is kept in the </w:t>
      </w:r>
      <w:r w:rsidR="2F4E4C59">
        <w:rPr/>
        <w:t>vestibule</w:t>
      </w:r>
      <w:r w:rsidR="2F4E4C59">
        <w:rPr/>
        <w:t xml:space="preserve"> key safe</w:t>
      </w:r>
      <w:r w:rsidR="2F4E4C59">
        <w:rPr/>
        <w:t xml:space="preserve">. </w:t>
      </w:r>
      <w:r w:rsidR="2F4E4C59">
        <w:rPr/>
        <w:t>A</w:t>
      </w:r>
      <w:r w:rsidR="2F4E4C59">
        <w:rPr/>
        <w:t xml:space="preserve">ll </w:t>
      </w:r>
      <w:r w:rsidR="2F4E4C59">
        <w:rPr/>
        <w:t>products used at the hall are domestic</w:t>
      </w:r>
      <w:r w:rsidR="2F4E4C59">
        <w:rPr/>
        <w:t xml:space="preserve"> in nature, </w:t>
      </w:r>
      <w:r w:rsidR="2F4E4C59">
        <w:rPr/>
        <w:t>purchased</w:t>
      </w:r>
      <w:r w:rsidR="2F4E4C59">
        <w:rPr/>
        <w:t xml:space="preserve"> from </w:t>
      </w:r>
      <w:r w:rsidR="2F4E4C59">
        <w:rPr/>
        <w:t xml:space="preserve">retail </w:t>
      </w:r>
      <w:r w:rsidR="2F4E4C59">
        <w:rPr/>
        <w:t xml:space="preserve">stores; </w:t>
      </w:r>
      <w:r w:rsidR="2F4E4C59">
        <w:rPr/>
        <w:t>they</w:t>
      </w:r>
      <w:r w:rsidR="2F4E4C59">
        <w:rPr/>
        <w:t xml:space="preserve"> </w:t>
      </w:r>
      <w:r w:rsidR="2F4E4C59">
        <w:rPr/>
        <w:t>remain</w:t>
      </w:r>
      <w:r w:rsidR="2F4E4C59">
        <w:rPr/>
        <w:t xml:space="preserve"> in the </w:t>
      </w:r>
      <w:r w:rsidR="2F4E4C59">
        <w:rPr/>
        <w:t>manufacturers’ packaging with</w:t>
      </w:r>
      <w:r w:rsidR="2F4E4C59">
        <w:rPr/>
        <w:t xml:space="preserve"> clear instructions on use and </w:t>
      </w:r>
      <w:r w:rsidR="2F4E4C59">
        <w:rPr/>
        <w:t>potential hazards</w:t>
      </w:r>
      <w:r w:rsidR="2F4E4C59">
        <w:rPr/>
        <w:t>.</w:t>
      </w:r>
    </w:p>
    <w:p w:rsidR="00A74D36" w:rsidP="006C7A10" w:rsidRDefault="00A74D36" w14:paraId="60FC433D" w14:textId="77777777"/>
    <w:p w:rsidR="00A74D36" w:rsidP="006C7A10" w:rsidRDefault="00A74D36" w14:paraId="18147DDA" w14:textId="455CE427">
      <w:r>
        <w:t xml:space="preserve">Children are not allowed in the kitchen and should not be allowed to access the </w:t>
      </w:r>
      <w:r w:rsidR="00A84939">
        <w:t>cleaning</w:t>
      </w:r>
      <w:r>
        <w:t xml:space="preserve"> cup</w:t>
      </w:r>
      <w:r w:rsidR="00A84939">
        <w:t>board.</w:t>
      </w:r>
    </w:p>
    <w:p w:rsidR="003D1750" w:rsidP="006C7A10" w:rsidRDefault="003D1750" w14:paraId="3E4F8533" w14:textId="77777777"/>
    <w:p w:rsidR="006C7A10" w:rsidP="006C7A10" w:rsidRDefault="006C7A10" w14:paraId="46FE5980" w14:textId="18137A82">
      <w:r>
        <w:t xml:space="preserve">No chemicals or </w:t>
      </w:r>
      <w:r w:rsidR="00925ECE">
        <w:t>substances are</w:t>
      </w:r>
      <w:r>
        <w:t xml:space="preserve"> purchased in bulk and transferred into small containers. </w:t>
      </w:r>
    </w:p>
    <w:p w:rsidR="006C7A10" w:rsidP="006C7A10" w:rsidRDefault="006C7A10" w14:paraId="26BC59E5" w14:textId="77777777"/>
    <w:p w:rsidR="006C7A10" w:rsidP="006C7A10" w:rsidRDefault="00925ECE" w14:paraId="56E50A36" w14:textId="30A82FBB">
      <w:r w:rsidR="2F4E4C59">
        <w:rPr/>
        <w:t>All products</w:t>
      </w:r>
      <w:r w:rsidR="2F4E4C59">
        <w:rPr/>
        <w:t xml:space="preserve"> are used</w:t>
      </w:r>
      <w:r w:rsidR="2F4E4C59">
        <w:rPr/>
        <w:t xml:space="preserve"> as supplied</w:t>
      </w:r>
      <w:r w:rsidR="2F4E4C59">
        <w:rPr/>
        <w:t xml:space="preserve"> and packagin</w:t>
      </w:r>
      <w:r w:rsidR="2F4E4C59">
        <w:rPr/>
        <w:t>g</w:t>
      </w:r>
      <w:r w:rsidR="2F4E4C59">
        <w:rPr/>
        <w:t xml:space="preserve"> is disposed</w:t>
      </w:r>
      <w:r w:rsidR="2F4E4C59">
        <w:rPr/>
        <w:t xml:space="preserve"> of </w:t>
      </w:r>
      <w:r w:rsidR="2F4E4C59">
        <w:rPr/>
        <w:t xml:space="preserve">in accordance with local authority recycling requirements. </w:t>
      </w:r>
    </w:p>
    <w:p w:rsidR="00FE3902" w:rsidP="006C7A10" w:rsidRDefault="00FE3902" w14:paraId="4A028B9A" w14:textId="77777777"/>
    <w:p w:rsidR="00FE3902" w:rsidP="006C7A10" w:rsidRDefault="00FE3902" w14:paraId="7BEAA4DF" w14:textId="7D6E4FEB">
      <w:r w:rsidR="2F4E4C59">
        <w:rPr/>
        <w:t xml:space="preserve">The Charity Manager and </w:t>
      </w:r>
      <w:r w:rsidR="2F4E4C59">
        <w:rPr/>
        <w:t xml:space="preserve">Treasurer </w:t>
      </w:r>
      <w:r w:rsidR="2F4E4C59">
        <w:rPr/>
        <w:t>are responsible for</w:t>
      </w:r>
      <w:r w:rsidR="2F4E4C59">
        <w:rPr/>
        <w:t xml:space="preserve"> </w:t>
      </w:r>
      <w:r w:rsidR="2F4E4C59">
        <w:rPr/>
        <w:t>purchasing</w:t>
      </w:r>
      <w:r w:rsidR="2F4E4C59">
        <w:rPr/>
        <w:t xml:space="preserve"> </w:t>
      </w:r>
      <w:r w:rsidR="2F4E4C59">
        <w:rPr/>
        <w:t>the</w:t>
      </w:r>
      <w:r w:rsidR="2F4E4C59">
        <w:rPr/>
        <w:t xml:space="preserve"> agreed</w:t>
      </w:r>
      <w:r w:rsidR="2F4E4C59">
        <w:rPr/>
        <w:t xml:space="preserve"> listed products. They will only </w:t>
      </w:r>
      <w:r w:rsidR="2F4E4C59">
        <w:rPr/>
        <w:t>purchase</w:t>
      </w:r>
      <w:r w:rsidR="2F4E4C59">
        <w:rPr/>
        <w:t xml:space="preserve"> </w:t>
      </w:r>
      <w:r w:rsidR="2F4E4C59">
        <w:rPr/>
        <w:t xml:space="preserve">recognised/leading brands of products. </w:t>
      </w:r>
    </w:p>
    <w:p w:rsidR="006C7A10" w:rsidP="006C7A10" w:rsidRDefault="006C7A10" w14:paraId="2BC59CF9" w14:textId="77777777"/>
    <w:p w:rsidRPr="001E0642" w:rsidR="006C7A10" w:rsidP="006C7A10" w:rsidRDefault="00494B04" w14:paraId="54D09570" w14:textId="6084FC38">
      <w:pPr>
        <w:rPr>
          <w:b/>
          <w:bCs/>
        </w:rPr>
      </w:pPr>
      <w:r w:rsidRPr="001E0642">
        <w:rPr>
          <w:b/>
          <w:bCs/>
        </w:rPr>
        <w:t>Safety</w:t>
      </w:r>
      <w:r w:rsidRPr="001E0642" w:rsidR="00751C24">
        <w:rPr>
          <w:b/>
          <w:bCs/>
        </w:rPr>
        <w:t xml:space="preserve"> </w:t>
      </w:r>
      <w:r w:rsidRPr="001E0642">
        <w:rPr>
          <w:b/>
          <w:bCs/>
        </w:rPr>
        <w:t>in use.</w:t>
      </w:r>
    </w:p>
    <w:p w:rsidR="006C7A10" w:rsidP="006C7A10" w:rsidRDefault="006C7A10" w14:paraId="2E7A3955" w14:textId="33002A27">
      <w:r>
        <w:t xml:space="preserve">Only approved cleaning products should </w:t>
      </w:r>
      <w:r w:rsidR="00494B04">
        <w:t>be used</w:t>
      </w:r>
      <w:r>
        <w:t xml:space="preserve"> in this village hall. If used in accordance with the manufacturer’s instructions, approved cleaning products will </w:t>
      </w:r>
      <w:r w:rsidR="001E0642">
        <w:t>be safe</w:t>
      </w:r>
      <w:r>
        <w:t xml:space="preserve"> and not hazardous to health. </w:t>
      </w:r>
    </w:p>
    <w:p w:rsidR="006C7A10" w:rsidP="006C7A10" w:rsidRDefault="006C7A10" w14:paraId="21F63D2F" w14:textId="77777777"/>
    <w:p w:rsidR="006C7A10" w:rsidP="006C7A10" w:rsidRDefault="006C7A10" w14:paraId="5B08998D" w14:textId="37FCEE5D">
      <w:r w:rsidR="2F4E4C59">
        <w:rPr/>
        <w:t xml:space="preserve">If cleaning products get onto the skin, the affected area should be washed with soap and water as soon as possible. </w:t>
      </w:r>
    </w:p>
    <w:p w:rsidR="006C7A10" w:rsidP="006C7A10" w:rsidRDefault="006C7A10" w14:paraId="73F7AEEE" w14:textId="77777777"/>
    <w:p w:rsidR="006C7A10" w:rsidP="006C7A10" w:rsidRDefault="006C7A10" w14:paraId="6DD2E489" w14:textId="6282C5F1">
      <w:r>
        <w:t xml:space="preserve">If cleaning products are splashed into the eyes, they should be irrigated with water as soon </w:t>
      </w:r>
      <w:r w:rsidR="00494B04">
        <w:t>as possible</w:t>
      </w:r>
      <w:r>
        <w:t xml:space="preserve">. </w:t>
      </w:r>
    </w:p>
    <w:p w:rsidR="006C7A10" w:rsidP="006C7A10" w:rsidRDefault="006C7A10" w14:paraId="4E965F45" w14:textId="77777777"/>
    <w:p w:rsidR="006C7A10" w:rsidP="006C7A10" w:rsidRDefault="006C7A10" w14:paraId="7BADAB6F" w14:textId="722B42BE">
      <w:r>
        <w:t>If cleaning products are ingested</w:t>
      </w:r>
      <w:r w:rsidR="00494B04">
        <w:t>,</w:t>
      </w:r>
      <w:r>
        <w:t xml:space="preserve"> they should be diluted by drinking copious volumes of</w:t>
      </w:r>
      <w:r w:rsidR="00494B04">
        <w:t xml:space="preserve"> water</w:t>
      </w:r>
      <w:r w:rsidR="00273E33">
        <w:t>.</w:t>
      </w:r>
      <w:r>
        <w:t xml:space="preserve"> </w:t>
      </w:r>
    </w:p>
    <w:p w:rsidR="006C7A10" w:rsidP="006C7A10" w:rsidRDefault="006C7A10" w14:paraId="5096C26D" w14:textId="77777777"/>
    <w:p w:rsidR="006C7A10" w:rsidP="006C7A10" w:rsidRDefault="006C7A10" w14:paraId="1B1C016E" w14:textId="407D07F8">
      <w:r w:rsidR="2F4E4C59">
        <w:rPr/>
        <w:t xml:space="preserve">Anyone concerned about any misuse of a cleaning product or suffering symptoms after a misuse, should seek urgent medical attention. </w:t>
      </w:r>
      <w:r w:rsidR="2F4E4C59">
        <w:rPr/>
        <w:t xml:space="preserve"> </w:t>
      </w:r>
      <w:r w:rsidR="2F4E4C59">
        <w:rPr/>
        <w:t>Any s</w:t>
      </w:r>
      <w:r w:rsidR="2F4E4C59">
        <w:rPr/>
        <w:t xml:space="preserve">uch </w:t>
      </w:r>
      <w:r w:rsidR="2F4E4C59">
        <w:rPr/>
        <w:t>instances</w:t>
      </w:r>
      <w:r w:rsidR="2F4E4C59">
        <w:rPr/>
        <w:t xml:space="preserve"> mus</w:t>
      </w:r>
      <w:r w:rsidR="2F4E4C59">
        <w:rPr/>
        <w:t>t</w:t>
      </w:r>
      <w:r w:rsidR="2F4E4C59">
        <w:rPr/>
        <w:t xml:space="preserve"> be reported to the Charity Ma</w:t>
      </w:r>
      <w:r w:rsidR="2F4E4C59">
        <w:rPr/>
        <w:t xml:space="preserve">nager. </w:t>
      </w:r>
    </w:p>
    <w:p w:rsidR="004E3DAA" w:rsidP="006C7A10" w:rsidRDefault="004E3DAA" w14:paraId="4CC96A6B" w14:textId="77777777"/>
    <w:p w:rsidR="004E3DAA" w:rsidP="006C7A10" w:rsidRDefault="004E3DAA" w14:paraId="51B52A7F" w14:textId="723188CF">
      <w:r w:rsidR="2F4E4C59">
        <w:rPr/>
        <w:t xml:space="preserve">Contractors </w:t>
      </w:r>
      <w:r w:rsidR="2F4E4C59">
        <w:rPr/>
        <w:t xml:space="preserve">are responsible </w:t>
      </w:r>
      <w:r w:rsidR="2F4E4C59">
        <w:rPr/>
        <w:t>for</w:t>
      </w:r>
      <w:r w:rsidR="2F4E4C59">
        <w:rPr/>
        <w:t xml:space="preserve"> ensuring that hall users and the </w:t>
      </w:r>
      <w:r w:rsidR="2F4E4C59">
        <w:rPr/>
        <w:t>general public</w:t>
      </w:r>
      <w:r w:rsidR="2F4E4C59">
        <w:rPr/>
        <w:t xml:space="preserve">, especially children, </w:t>
      </w:r>
      <w:r w:rsidR="2F4E4C59">
        <w:rPr/>
        <w:t>are kept safe from an</w:t>
      </w:r>
      <w:r w:rsidR="2F4E4C59">
        <w:rPr/>
        <w:t>y substances they may be using to carry</w:t>
      </w:r>
      <w:r w:rsidR="2F4E4C59">
        <w:rPr/>
        <w:t xml:space="preserve"> out their work. </w:t>
      </w:r>
    </w:p>
    <w:p w:rsidR="000C55B3" w:rsidP="006C7A10" w:rsidRDefault="000C55B3" w14:paraId="450E2C43" w14:textId="77777777"/>
    <w:p w:rsidR="000C55B3" w:rsidP="006C7A10" w:rsidRDefault="000C55B3" w14:paraId="5BBF0C09" w14:textId="77777777"/>
    <w:p w:rsidR="000C55B3" w:rsidP="006C7A10" w:rsidRDefault="000C55B3" w14:paraId="15EC9CB9" w14:textId="7AF05FAD">
      <w:r>
        <w:t xml:space="preserve">This policy and safe working guide </w:t>
      </w:r>
      <w:proofErr w:type="gramStart"/>
      <w:r w:rsidR="00831F58">
        <w:t>is</w:t>
      </w:r>
      <w:proofErr w:type="gramEnd"/>
      <w:r w:rsidR="00AA2BE0">
        <w:t xml:space="preserve"> reviewed by the Management Committee annually. </w:t>
      </w:r>
    </w:p>
    <w:p w:rsidR="006C7A10" w:rsidP="006C7A10" w:rsidRDefault="006C7A10" w14:paraId="1C6FA790" w14:textId="77777777"/>
    <w:p w:rsidR="00A5032A" w:rsidP="006C7A10" w:rsidRDefault="00A5032A" w14:paraId="7151A1EF" w14:textId="77777777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122"/>
        <w:gridCol w:w="1559"/>
        <w:gridCol w:w="1984"/>
        <w:gridCol w:w="1984"/>
      </w:tblGrid>
      <w:tr w:rsidR="00D40DBA" w14:paraId="49597F0D" w14:textId="77777777"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40DBA" w:rsidRDefault="00D40DBA" w14:paraId="19224F58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Annual or change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40DBA" w:rsidRDefault="00D40DBA" w14:paraId="544A91B9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40DBA" w:rsidRDefault="00D40DBA" w14:paraId="4BC54D3C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40DBA" w:rsidRDefault="00D40DBA" w14:paraId="6B30C744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Position </w:t>
            </w:r>
          </w:p>
        </w:tc>
      </w:tr>
      <w:tr w:rsidR="00D40DBA" w14:paraId="0349DC3B" w14:textId="77777777">
        <w:trPr>
          <w:trHeight w:val="313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40DBA" w:rsidRDefault="00D40DBA" w14:paraId="096BFF9A" w14:textId="77777777">
            <w:pPr>
              <w:jc w:val="center"/>
            </w:pPr>
            <w:r>
              <w:t>Annual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40DBA" w:rsidRDefault="00D40DBA" w14:paraId="0F395D50" w14:textId="77777777">
            <w:pPr>
              <w:jc w:val="center"/>
            </w:pPr>
            <w:r>
              <w:t>30/04/25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40DBA" w:rsidRDefault="00D40DBA" w14:paraId="26BD798A" w14:textId="77777777">
            <w:pPr>
              <w:jc w:val="center"/>
            </w:pPr>
            <w:r>
              <w:t>G Round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40DBA" w:rsidRDefault="00D40DBA" w14:paraId="4DEC74CE" w14:textId="77777777">
            <w:pPr>
              <w:jc w:val="center"/>
            </w:pPr>
            <w:r>
              <w:t>Trustee</w:t>
            </w:r>
          </w:p>
        </w:tc>
      </w:tr>
      <w:tr w:rsidR="00D40DBA" w14:paraId="1D6DB82A" w14:textId="77777777"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40DBA" w:rsidRDefault="00D40DBA" w14:paraId="43926B4C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40DBA" w:rsidRDefault="00D40DBA" w14:paraId="632B0E5D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40DBA" w:rsidRDefault="00D40DBA" w14:paraId="05D2E8C5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40DBA" w:rsidRDefault="00D40DBA" w14:paraId="07387F06" w14:textId="77777777">
            <w:pPr>
              <w:jc w:val="center"/>
              <w:rPr>
                <w:b/>
                <w:bCs/>
              </w:rPr>
            </w:pPr>
          </w:p>
        </w:tc>
      </w:tr>
      <w:tr w:rsidR="00D40DBA" w14:paraId="1CB74E27" w14:textId="77777777"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40DBA" w:rsidRDefault="00D40DBA" w14:paraId="153ED277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40DBA" w:rsidRDefault="00D40DBA" w14:paraId="261CE358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40DBA" w:rsidRDefault="00D40DBA" w14:paraId="3D4A5EB7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40DBA" w:rsidRDefault="00D40DBA" w14:paraId="692071B6" w14:textId="77777777">
            <w:pPr>
              <w:jc w:val="center"/>
              <w:rPr>
                <w:b/>
                <w:bCs/>
              </w:rPr>
            </w:pPr>
          </w:p>
        </w:tc>
      </w:tr>
      <w:tr w:rsidR="00D40DBA" w14:paraId="04704761" w14:textId="77777777"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40DBA" w:rsidRDefault="00D40DBA" w14:paraId="3F3DEB62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40DBA" w:rsidRDefault="00D40DBA" w14:paraId="457BF7CD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40DBA" w:rsidRDefault="00D40DBA" w14:paraId="3FDE4E36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40DBA" w:rsidRDefault="00D40DBA" w14:paraId="4E6B462F" w14:textId="77777777">
            <w:pPr>
              <w:jc w:val="center"/>
              <w:rPr>
                <w:b/>
                <w:bCs/>
              </w:rPr>
            </w:pPr>
          </w:p>
        </w:tc>
      </w:tr>
      <w:tr w:rsidR="00D40DBA" w14:paraId="2DC4500C" w14:textId="77777777"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40DBA" w:rsidRDefault="00D40DBA" w14:paraId="626F0098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40DBA" w:rsidRDefault="00D40DBA" w14:paraId="5776B570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40DBA" w:rsidRDefault="00D40DBA" w14:paraId="001B6AF3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40DBA" w:rsidRDefault="00D40DBA" w14:paraId="36E296EA" w14:textId="77777777">
            <w:pPr>
              <w:jc w:val="center"/>
              <w:rPr>
                <w:b/>
                <w:bCs/>
              </w:rPr>
            </w:pPr>
          </w:p>
        </w:tc>
      </w:tr>
      <w:tr w:rsidR="00D40DBA" w14:paraId="321766B7" w14:textId="77777777"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40DBA" w:rsidRDefault="00D40DBA" w14:paraId="5F3FB7B2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40DBA" w:rsidRDefault="00D40DBA" w14:paraId="2A77119D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40DBA" w:rsidRDefault="00D40DBA" w14:paraId="34EB87BB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40DBA" w:rsidRDefault="00D40DBA" w14:paraId="4AC2E6A7" w14:textId="77777777">
            <w:pPr>
              <w:jc w:val="center"/>
              <w:rPr>
                <w:b/>
                <w:bCs/>
              </w:rPr>
            </w:pPr>
          </w:p>
        </w:tc>
      </w:tr>
      <w:tr w:rsidR="00D40DBA" w14:paraId="27058D2A" w14:textId="77777777"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40DBA" w:rsidRDefault="00D40DBA" w14:paraId="46CC5059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40DBA" w:rsidRDefault="00D40DBA" w14:paraId="27334651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40DBA" w:rsidRDefault="00D40DBA" w14:paraId="751D5F0C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40DBA" w:rsidRDefault="00D40DBA" w14:paraId="02D45676" w14:textId="77777777">
            <w:pPr>
              <w:jc w:val="center"/>
              <w:rPr>
                <w:b/>
                <w:bCs/>
              </w:rPr>
            </w:pPr>
          </w:p>
        </w:tc>
      </w:tr>
    </w:tbl>
    <w:p w:rsidRPr="00D40DBA" w:rsidR="006C7A10" w:rsidP="006C7A10" w:rsidRDefault="00D40DBA" w14:paraId="027C078C" w14:textId="195D69C9">
      <w:pPr>
        <w:rPr>
          <w:rFonts w:asciiTheme="minorHAnsi" w:hAnsiTheme="minorHAnsi" w:cstheme="minorBidi"/>
          <w:b/>
          <w:bCs/>
          <w:kern w:val="2"/>
          <w:sz w:val="22"/>
          <w:szCs w:val="22"/>
          <w14:ligatures w14:val="standardContextual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6C7A10" w:rsidP="006C7A10" w:rsidRDefault="006C7A10" w14:paraId="6B3A3D3B" w14:textId="77777777"/>
    <w:p w:rsidRPr="006C7A10" w:rsidR="007B413D" w:rsidP="006C7A10" w:rsidRDefault="007B413D" w14:paraId="1C95646D" w14:textId="77777777"/>
    <w:sectPr w:rsidRPr="006C7A10" w:rsidR="007B413D"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76F69" w:rsidP="006C7A10" w:rsidRDefault="00776F69" w14:paraId="4CE45558" w14:textId="77777777">
      <w:pPr>
        <w:spacing w:line="240" w:lineRule="auto"/>
      </w:pPr>
      <w:r>
        <w:separator/>
      </w:r>
    </w:p>
  </w:endnote>
  <w:endnote w:type="continuationSeparator" w:id="0">
    <w:p w:rsidR="00776F69" w:rsidP="006C7A10" w:rsidRDefault="00776F69" w14:paraId="2FD083EC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108175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F5E31" w:rsidP="00CF5FB4" w:rsidRDefault="00CF5FB4" w14:paraId="18FC9EE8" w14:textId="56EC606A">
        <w:pPr>
          <w:pStyle w:val="Footer"/>
          <w:ind w:left="3407" w:firstLine="3793"/>
        </w:pPr>
        <w:r>
          <w:t xml:space="preserve">      </w:t>
        </w:r>
        <w:r w:rsidR="00DF5E31">
          <w:t xml:space="preserve">Page </w:t>
        </w:r>
        <w:r w:rsidR="00DF5E31">
          <w:fldChar w:fldCharType="begin"/>
        </w:r>
        <w:r w:rsidR="00DF5E31">
          <w:instrText xml:space="preserve"> PAGE   \* MERGEFORMAT </w:instrText>
        </w:r>
        <w:r w:rsidR="00DF5E31">
          <w:fldChar w:fldCharType="separate"/>
        </w:r>
        <w:r w:rsidR="00DF5E31">
          <w:rPr>
            <w:noProof/>
          </w:rPr>
          <w:t>2</w:t>
        </w:r>
        <w:r w:rsidR="00DF5E31">
          <w:rPr>
            <w:noProof/>
          </w:rPr>
          <w:fldChar w:fldCharType="end"/>
        </w:r>
        <w:r>
          <w:rPr>
            <w:noProof/>
          </w:rPr>
          <w:t>of 3</w:t>
        </w:r>
      </w:p>
    </w:sdtContent>
  </w:sdt>
  <w:p w:rsidR="00DF5E31" w:rsidRDefault="00DF5E31" w14:paraId="408E97E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76F69" w:rsidP="006C7A10" w:rsidRDefault="00776F69" w14:paraId="64CA3A1B" w14:textId="77777777">
      <w:pPr>
        <w:spacing w:line="240" w:lineRule="auto"/>
      </w:pPr>
      <w:r>
        <w:separator/>
      </w:r>
    </w:p>
  </w:footnote>
  <w:footnote w:type="continuationSeparator" w:id="0">
    <w:p w:rsidR="00776F69" w:rsidP="006C7A10" w:rsidRDefault="00776F69" w14:paraId="2ABA8C21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6C7A10" w:rsidR="006C7A10" w:rsidP="006C7A10" w:rsidRDefault="006C7A10" w14:paraId="3C8F7A4B" w14:textId="2166AAE4">
    <w:pPr>
      <w:pStyle w:val="Header"/>
      <w:jc w:val="center"/>
      <w:rPr>
        <w:b/>
        <w:bCs/>
      </w:rPr>
    </w:pPr>
    <w:r>
      <w:rPr>
        <w:b/>
        <w:bCs/>
      </w:rPr>
      <w:t>Acton Playing Fields and Village Hall (APFVH)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AB277D"/>
    <w:multiLevelType w:val="hybridMultilevel"/>
    <w:tmpl w:val="F720322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552426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A10"/>
    <w:rsid w:val="00010BFF"/>
    <w:rsid w:val="000352D9"/>
    <w:rsid w:val="00043F74"/>
    <w:rsid w:val="000929B1"/>
    <w:rsid w:val="000C55B3"/>
    <w:rsid w:val="00111830"/>
    <w:rsid w:val="001E0642"/>
    <w:rsid w:val="00251DC6"/>
    <w:rsid w:val="00273E33"/>
    <w:rsid w:val="00364D38"/>
    <w:rsid w:val="0038405B"/>
    <w:rsid w:val="003A5A1D"/>
    <w:rsid w:val="003D1750"/>
    <w:rsid w:val="00494B04"/>
    <w:rsid w:val="004E3DAA"/>
    <w:rsid w:val="00575CAD"/>
    <w:rsid w:val="005D4832"/>
    <w:rsid w:val="005D67AB"/>
    <w:rsid w:val="005F3000"/>
    <w:rsid w:val="00630816"/>
    <w:rsid w:val="00632D3E"/>
    <w:rsid w:val="006C7A10"/>
    <w:rsid w:val="006E09C6"/>
    <w:rsid w:val="007278D7"/>
    <w:rsid w:val="00751C24"/>
    <w:rsid w:val="00776F69"/>
    <w:rsid w:val="007B413D"/>
    <w:rsid w:val="00817023"/>
    <w:rsid w:val="00831F58"/>
    <w:rsid w:val="00854146"/>
    <w:rsid w:val="00870C67"/>
    <w:rsid w:val="008B301C"/>
    <w:rsid w:val="00925ECE"/>
    <w:rsid w:val="009362D3"/>
    <w:rsid w:val="00980162"/>
    <w:rsid w:val="00991818"/>
    <w:rsid w:val="009D61E3"/>
    <w:rsid w:val="009D7F4E"/>
    <w:rsid w:val="009F4FAD"/>
    <w:rsid w:val="00A5032A"/>
    <w:rsid w:val="00A66343"/>
    <w:rsid w:val="00A74D36"/>
    <w:rsid w:val="00A84939"/>
    <w:rsid w:val="00AA2BE0"/>
    <w:rsid w:val="00B008A0"/>
    <w:rsid w:val="00B01A8A"/>
    <w:rsid w:val="00B1623B"/>
    <w:rsid w:val="00B47E4D"/>
    <w:rsid w:val="00B95DBF"/>
    <w:rsid w:val="00CA641B"/>
    <w:rsid w:val="00CF5FB4"/>
    <w:rsid w:val="00D40DBA"/>
    <w:rsid w:val="00D802D0"/>
    <w:rsid w:val="00D96FF5"/>
    <w:rsid w:val="00DB25E3"/>
    <w:rsid w:val="00DB4997"/>
    <w:rsid w:val="00DF5E31"/>
    <w:rsid w:val="00E6388D"/>
    <w:rsid w:val="00F24ECC"/>
    <w:rsid w:val="00F77DD9"/>
    <w:rsid w:val="00FB6CF9"/>
    <w:rsid w:val="00FC487F"/>
    <w:rsid w:val="00FE3902"/>
    <w:rsid w:val="2F4E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5E838"/>
  <w15:chartTrackingRefBased/>
  <w15:docId w15:val="{9EEF064B-452E-4326-BB2E-DC82A767181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cs="Arial" w:eastAsiaTheme="minorHAnsi"/>
        <w:sz w:val="24"/>
        <w:szCs w:val="24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7A1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7A1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7A10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7A10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7A10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7A10"/>
    <w:pPr>
      <w:keepNext/>
      <w:keepLines/>
      <w:spacing w:before="4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7A10"/>
    <w:pPr>
      <w:keepNext/>
      <w:keepLines/>
      <w:spacing w:before="4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7A10"/>
    <w:pPr>
      <w:keepNext/>
      <w:keepLines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7A10"/>
    <w:pPr>
      <w:keepNext/>
      <w:keepLines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C7A1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C7A1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C7A10"/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C7A10"/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C7A10"/>
    <w:rPr>
      <w:rFonts w:asciiTheme="minorHAnsi" w:hAnsiTheme="minorHAnsi"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C7A10"/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C7A10"/>
    <w:rPr>
      <w:rFonts w:asciiTheme="minorHAnsi" w:hAnsiTheme="minorHAnsi"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C7A10"/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C7A10"/>
    <w:rPr>
      <w:rFonts w:asciiTheme="minorHAnsi" w:hAnsiTheme="minorHAnsi"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7A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C7A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7A10"/>
    <w:pPr>
      <w:numPr>
        <w:ilvl w:val="1"/>
      </w:numPr>
      <w:spacing w:after="160"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C7A10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7A10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C7A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7A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7A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7A1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C7A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7A1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C7A10"/>
    <w:pPr>
      <w:tabs>
        <w:tab w:val="center" w:pos="4513"/>
        <w:tab w:val="right" w:pos="9026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C7A10"/>
  </w:style>
  <w:style w:type="paragraph" w:styleId="Footer">
    <w:name w:val="footer"/>
    <w:basedOn w:val="Normal"/>
    <w:link w:val="FooterChar"/>
    <w:uiPriority w:val="99"/>
    <w:unhideWhenUsed/>
    <w:rsid w:val="006C7A10"/>
    <w:pPr>
      <w:tabs>
        <w:tab w:val="center" w:pos="4513"/>
        <w:tab w:val="right" w:pos="9026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C7A10"/>
  </w:style>
  <w:style w:type="table" w:styleId="TableGrid">
    <w:name w:val="Table Grid"/>
    <w:basedOn w:val="TableNormal"/>
    <w:uiPriority w:val="39"/>
    <w:rsid w:val="00D40DBA"/>
    <w:pPr>
      <w:spacing w:line="240" w:lineRule="auto"/>
    </w:pPr>
    <w:rPr>
      <w:rFonts w:asciiTheme="minorHAnsi" w:hAnsiTheme="minorHAnsi" w:cstheme="minorBidi"/>
      <w:kern w:val="2"/>
      <w:sz w:val="22"/>
      <w:szCs w:val="22"/>
      <w14:ligatures w14:val="standardContextual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Graham Round</dc:creator>
  <keywords/>
  <dc:description/>
  <lastModifiedBy>Guest User</lastModifiedBy>
  <revision>50</revision>
  <dcterms:created xsi:type="dcterms:W3CDTF">2026-03-20T18:18:00.0000000Z</dcterms:created>
  <dcterms:modified xsi:type="dcterms:W3CDTF">2026-06-09T17:04:15.9530913Z</dcterms:modified>
</coreProperties>
</file>