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DC7898" w:rsidR="007A0E1C" w:rsidP="007C1010" w:rsidRDefault="007A0E1C" w14:paraId="0E3B3208" w14:textId="2E70B3D8">
      <w:pPr>
        <w:rPr>
          <w:b/>
          <w:bCs/>
          <w:u w:val="single"/>
        </w:rPr>
      </w:pPr>
      <w:r w:rsidRPr="00DC7898">
        <w:rPr>
          <w:b/>
          <w:bCs/>
          <w:u w:val="single"/>
        </w:rPr>
        <w:t xml:space="preserve">Fire Risk Assessment </w:t>
      </w:r>
      <w:r w:rsidRPr="00DC7898" w:rsidR="001E6A8A">
        <w:rPr>
          <w:b/>
          <w:bCs/>
          <w:u w:val="single"/>
        </w:rPr>
        <w:t xml:space="preserve">and </w:t>
      </w:r>
      <w:r w:rsidR="00D22E08">
        <w:rPr>
          <w:b/>
          <w:bCs/>
          <w:u w:val="single"/>
        </w:rPr>
        <w:t>Fire Safety</w:t>
      </w:r>
      <w:r w:rsidR="00DA1AFD">
        <w:rPr>
          <w:b/>
          <w:bCs/>
          <w:u w:val="single"/>
        </w:rPr>
        <w:t xml:space="preserve"> </w:t>
      </w:r>
      <w:r w:rsidR="00261579">
        <w:rPr>
          <w:b/>
          <w:bCs/>
          <w:u w:val="single"/>
        </w:rPr>
        <w:t>Instructions</w:t>
      </w:r>
    </w:p>
    <w:p w:rsidR="00DC7898" w:rsidP="007C1010" w:rsidRDefault="00DC7898" w14:paraId="3DAEAE17" w14:textId="77777777">
      <w:pPr>
        <w:rPr>
          <w:b/>
          <w:bCs/>
        </w:rPr>
      </w:pPr>
    </w:p>
    <w:p w:rsidRPr="00150676" w:rsidR="007C1010" w:rsidP="007C1010" w:rsidRDefault="007C1010" w14:paraId="4BF29863" w14:textId="69F8F0CF">
      <w:pPr>
        <w:rPr>
          <w:b/>
          <w:bCs/>
        </w:rPr>
      </w:pPr>
      <w:r w:rsidRPr="00150676">
        <w:rPr>
          <w:b/>
          <w:bCs/>
        </w:rPr>
        <w:t>Introduction:</w:t>
      </w:r>
    </w:p>
    <w:p w:rsidR="007020B1" w:rsidP="007C1010" w:rsidRDefault="007C1010" w14:paraId="6068A366" w14:textId="3153FFE7">
      <w:r>
        <w:t>The purpose of this assessment is to provide a suitable and sufficient assessment of the hazards and risks to life from fire at the premises</w:t>
      </w:r>
      <w:r w:rsidR="00462EB9">
        <w:t xml:space="preserve"> and to provide</w:t>
      </w:r>
      <w:r w:rsidR="001B3418">
        <w:t xml:space="preserve"> </w:t>
      </w:r>
      <w:r w:rsidR="004F7576">
        <w:t>fire prevention</w:t>
      </w:r>
      <w:r w:rsidR="00612DFB">
        <w:t xml:space="preserve"> </w:t>
      </w:r>
      <w:r w:rsidR="000B5A97">
        <w:t>procedures</w:t>
      </w:r>
      <w:r w:rsidR="00D22E08">
        <w:t>.</w:t>
      </w:r>
    </w:p>
    <w:p w:rsidR="00047237" w:rsidP="007C1010" w:rsidRDefault="00047237" w14:paraId="567BEA6A" w14:textId="77777777"/>
    <w:p w:rsidR="00047237" w:rsidP="007C1010" w:rsidRDefault="00047237" w14:paraId="30BBC685" w14:textId="1E4AB723">
      <w:r w:rsidR="6AC0F7F9">
        <w:rPr/>
        <w:t>Acton Village</w:t>
      </w:r>
      <w:r w:rsidR="6AC0F7F9">
        <w:rPr/>
        <w:t xml:space="preserve"> Hall premises</w:t>
      </w:r>
      <w:r w:rsidR="6AC0F7F9">
        <w:rPr/>
        <w:t xml:space="preserve"> are managed by </w:t>
      </w:r>
      <w:r w:rsidR="6AC0F7F9">
        <w:rPr/>
        <w:t xml:space="preserve">a </w:t>
      </w:r>
      <w:r w:rsidR="6AC0F7F9">
        <w:rPr/>
        <w:t xml:space="preserve">management committee. The premises are hired by different clubs, organisers of various activities, social </w:t>
      </w:r>
      <w:r w:rsidR="6AC0F7F9">
        <w:rPr/>
        <w:t>gatherings</w:t>
      </w:r>
      <w:r w:rsidR="6AC0F7F9">
        <w:rPr/>
        <w:t xml:space="preserve"> and private parties.  A Health &amp; Safety Policy and safety rules are in place</w:t>
      </w:r>
      <w:r w:rsidR="6AC0F7F9">
        <w:rPr/>
        <w:t>.</w:t>
      </w:r>
    </w:p>
    <w:p w:rsidR="00215D30" w:rsidP="007C1010" w:rsidRDefault="00215D30" w14:paraId="3AC9C3F3" w14:textId="77777777"/>
    <w:p w:rsidR="007C1010" w:rsidP="007C1010" w:rsidRDefault="00215D30" w14:paraId="7465A686" w14:textId="7D0D8E57">
      <w:r>
        <w:t>The Village Hall has a Premises Licence authorising regulated entertainment and licensable activities at the times indicated</w:t>
      </w:r>
      <w:r w:rsidR="00F20BCD">
        <w:t xml:space="preserve"> in te</w:t>
      </w:r>
      <w:r w:rsidR="00E80753">
        <w:t>rms and conditions of hire</w:t>
      </w:r>
      <w:r w:rsidR="00262393">
        <w:t>.</w:t>
      </w:r>
      <w:r w:rsidR="00F20BCD">
        <w:t xml:space="preserve"> </w:t>
      </w:r>
    </w:p>
    <w:p w:rsidR="00C60883" w:rsidP="007C1010" w:rsidRDefault="00C60883" w14:paraId="7B647EAB" w14:textId="77777777"/>
    <w:p w:rsidR="00C60883" w:rsidP="007C1010" w:rsidRDefault="00C60883" w14:paraId="48ABD173" w14:textId="3E1DC33D">
      <w:r w:rsidR="6AC0F7F9">
        <w:rPr/>
        <w:t xml:space="preserve">Hirers are informed or their </w:t>
      </w:r>
      <w:r w:rsidR="6AC0F7F9">
        <w:rPr/>
        <w:t>responsibility</w:t>
      </w:r>
      <w:r w:rsidR="6AC0F7F9">
        <w:rPr/>
        <w:t xml:space="preserve"> to keep </w:t>
      </w:r>
      <w:r w:rsidR="6AC0F7F9">
        <w:rPr/>
        <w:t xml:space="preserve">all </w:t>
      </w:r>
      <w:r w:rsidR="6AC0F7F9">
        <w:rPr/>
        <w:t>guest</w:t>
      </w:r>
      <w:r w:rsidR="6AC0F7F9">
        <w:rPr/>
        <w:t>s</w:t>
      </w:r>
      <w:r w:rsidR="6AC0F7F9">
        <w:rPr/>
        <w:t xml:space="preserve"> and the premises</w:t>
      </w:r>
      <w:r w:rsidR="6AC0F7F9">
        <w:rPr/>
        <w:t xml:space="preserve"> safe</w:t>
      </w:r>
      <w:r w:rsidR="6AC0F7F9">
        <w:rPr/>
        <w:t xml:space="preserve"> and</w:t>
      </w:r>
      <w:r w:rsidR="6AC0F7F9">
        <w:rPr/>
        <w:t xml:space="preserve"> that </w:t>
      </w:r>
      <w:r w:rsidR="6AC0F7F9">
        <w:rPr/>
        <w:t xml:space="preserve">they </w:t>
      </w:r>
      <w:r w:rsidR="6AC0F7F9">
        <w:rPr/>
        <w:t xml:space="preserve">assume a </w:t>
      </w:r>
      <w:r w:rsidR="6AC0F7F9">
        <w:rPr/>
        <w:t>Responsible</w:t>
      </w:r>
      <w:r w:rsidR="6AC0F7F9">
        <w:rPr/>
        <w:t xml:space="preserve"> Person role</w:t>
      </w:r>
      <w:r w:rsidR="6AC0F7F9">
        <w:rPr/>
        <w:t>.</w:t>
      </w:r>
    </w:p>
    <w:p w:rsidRPr="00150676" w:rsidR="00F20BCD" w:rsidP="007C1010" w:rsidRDefault="00F20BCD" w14:paraId="7FF116A0" w14:textId="77777777">
      <w:pPr>
        <w:rPr>
          <w:b/>
          <w:bCs/>
        </w:rPr>
      </w:pPr>
    </w:p>
    <w:p w:rsidRPr="00150676" w:rsidR="007C1010" w:rsidP="007C1010" w:rsidRDefault="007C1010" w14:paraId="2785957D" w14:textId="39DAEEE5">
      <w:pPr>
        <w:rPr>
          <w:b/>
          <w:bCs/>
        </w:rPr>
      </w:pPr>
      <w:r w:rsidRPr="00150676">
        <w:rPr>
          <w:b/>
          <w:bCs/>
        </w:rPr>
        <w:t>Assessment:</w:t>
      </w:r>
    </w:p>
    <w:p w:rsidR="007C1010" w:rsidP="007C1010" w:rsidRDefault="007C1010" w14:paraId="1DD6EE71" w14:textId="60882297">
      <w:r>
        <w:t xml:space="preserve">This assessment was carried out by the </w:t>
      </w:r>
      <w:r w:rsidR="00150676">
        <w:t>Management</w:t>
      </w:r>
      <w:r>
        <w:t xml:space="preserve"> Committee in </w:t>
      </w:r>
      <w:r w:rsidR="00150676">
        <w:t>March 20</w:t>
      </w:r>
      <w:r w:rsidR="00047237">
        <w:t xml:space="preserve">26 and will be reviewed annually or </w:t>
      </w:r>
      <w:r w:rsidR="00D621F4">
        <w:t xml:space="preserve">when </w:t>
      </w:r>
      <w:r w:rsidR="00047237">
        <w:t>building alterations</w:t>
      </w:r>
      <w:r w:rsidR="00DE0826">
        <w:t xml:space="preserve"> or</w:t>
      </w:r>
      <w:r w:rsidR="00047237">
        <w:t xml:space="preserve"> type of hirer change</w:t>
      </w:r>
      <w:r>
        <w:t xml:space="preserve">. </w:t>
      </w:r>
    </w:p>
    <w:p w:rsidRPr="00047237" w:rsidR="00047237" w:rsidP="007C1010" w:rsidRDefault="00047237" w14:paraId="56B75B11" w14:textId="4D8F8619"/>
    <w:p w:rsidR="00150676" w:rsidP="007C1010" w:rsidRDefault="00150676" w14:paraId="0A8AE1A8" w14:textId="77777777">
      <w:r w:rsidRPr="00150676">
        <w:rPr>
          <w:b/>
          <w:bCs/>
        </w:rPr>
        <w:t>General Information about the Premises</w:t>
      </w:r>
      <w:r>
        <w:t>:</w:t>
      </w:r>
    </w:p>
    <w:p w:rsidR="00150676" w:rsidP="007C1010" w:rsidRDefault="00150676" w14:paraId="4E47EEC5" w14:textId="039B082B">
      <w:r w:rsidR="6AC0F7F9">
        <w:rPr/>
        <w:t xml:space="preserve">Single story building constructed of steel frame and bricks with part steel and concrete tile roof. The building was constructed in </w:t>
      </w:r>
      <w:r w:rsidR="6AC0F7F9">
        <w:rPr/>
        <w:t>2005</w:t>
      </w:r>
      <w:r w:rsidR="6AC0F7F9">
        <w:rPr/>
        <w:t xml:space="preserve"> and careful fire precautions features form part of the design.</w:t>
      </w:r>
      <w:r w:rsidR="6AC0F7F9">
        <w:rPr/>
        <w:t xml:space="preserve"> There are no recorded inst</w:t>
      </w:r>
      <w:r w:rsidR="6AC0F7F9">
        <w:rPr/>
        <w:t>ances</w:t>
      </w:r>
      <w:r w:rsidR="6AC0F7F9">
        <w:rPr/>
        <w:t xml:space="preserve"> of fire</w:t>
      </w:r>
      <w:r w:rsidR="6AC0F7F9">
        <w:rPr/>
        <w:t>.</w:t>
      </w:r>
    </w:p>
    <w:p w:rsidR="00150676" w:rsidP="007C1010" w:rsidRDefault="00150676" w14:paraId="75A32C53" w14:textId="77777777"/>
    <w:p w:rsidR="00150676" w:rsidP="007C1010" w:rsidRDefault="00150676" w14:paraId="617ADD6C" w14:textId="0C7B690C">
      <w:r w:rsidR="6AC0F7F9">
        <w:rPr/>
        <w:t xml:space="preserve">The premises consist of a glazed entrance portal, leading to a central vestibule area, with access to the small meeting room, kitchen, 3 </w:t>
      </w:r>
      <w:r w:rsidR="6AC0F7F9">
        <w:rPr/>
        <w:t>washroom areas</w:t>
      </w:r>
      <w:r w:rsidR="6AC0F7F9">
        <w:rPr/>
        <w:t xml:space="preserve">, corridor to changing and shower rooms and the main </w:t>
      </w:r>
      <w:r w:rsidR="6AC0F7F9">
        <w:rPr/>
        <w:t xml:space="preserve">hall. The main hall has a high vaulted ceiling. </w:t>
      </w:r>
    </w:p>
    <w:p w:rsidR="00150676" w:rsidP="007C1010" w:rsidRDefault="00150676" w14:paraId="67FE5A9D" w14:textId="77777777"/>
    <w:p w:rsidR="0064308A" w:rsidP="007C1010" w:rsidRDefault="0064308A" w14:paraId="4793F73D" w14:textId="544A76A8">
      <w:r w:rsidR="6AC0F7F9">
        <w:rPr/>
        <w:t>The main hall has no roof void and the other parts of the building where there are areas with small services voids are fire</w:t>
      </w:r>
      <w:r w:rsidR="6AC0F7F9">
        <w:rPr/>
        <w:t>breaked</w:t>
      </w:r>
      <w:r w:rsidR="6AC0F7F9">
        <w:rPr/>
        <w:t xml:space="preserve"> from the main hall.</w:t>
      </w:r>
    </w:p>
    <w:p w:rsidR="00333E52" w:rsidP="007C1010" w:rsidRDefault="00333E52" w14:paraId="500AFF3A" w14:textId="77777777"/>
    <w:p w:rsidR="00333E52" w:rsidP="007C1010" w:rsidRDefault="00333E52" w14:paraId="5F9190B7" w14:textId="60ABE12D">
      <w:r>
        <w:t>A comprehensive building layout plan is posted at each of the building's two entrance doors.</w:t>
      </w:r>
    </w:p>
    <w:p w:rsidR="00365AFB" w:rsidP="007C1010" w:rsidRDefault="00365AFB" w14:paraId="0B7FBF5E" w14:textId="77777777"/>
    <w:p w:rsidR="00365AFB" w:rsidP="007C1010" w:rsidRDefault="00365AFB" w14:paraId="4919645C" w14:textId="26443F3D">
      <w:pPr>
        <w:rPr>
          <w:b/>
          <w:bCs/>
        </w:rPr>
      </w:pPr>
      <w:r w:rsidRPr="00365AFB">
        <w:rPr>
          <w:b/>
          <w:bCs/>
        </w:rPr>
        <w:t>Occupants</w:t>
      </w:r>
      <w:r w:rsidR="0013450E">
        <w:rPr>
          <w:b/>
          <w:bCs/>
        </w:rPr>
        <w:t>:</w:t>
      </w:r>
    </w:p>
    <w:p w:rsidRPr="00F7758F" w:rsidR="00365AFB" w:rsidP="007C1010" w:rsidRDefault="00A41860" w14:paraId="11A6DE9F" w14:textId="0C9985AD">
      <w:pPr>
        <w:rPr>
          <w:color w:val="EE0000"/>
        </w:rPr>
      </w:pPr>
      <w:r w:rsidRPr="00095C8B">
        <w:t xml:space="preserve">Normal </w:t>
      </w:r>
      <w:r w:rsidRPr="00095C8B" w:rsidR="00F21B71">
        <w:t>occupancy</w:t>
      </w:r>
      <w:r w:rsidRPr="00095C8B">
        <w:t xml:space="preserve"> </w:t>
      </w:r>
      <w:r w:rsidRPr="00095C8B" w:rsidR="00F21B71">
        <w:t>levels</w:t>
      </w:r>
      <w:r w:rsidRPr="00095C8B">
        <w:t xml:space="preserve"> </w:t>
      </w:r>
      <w:r w:rsidRPr="00095C8B" w:rsidR="00F21B71">
        <w:t>are</w:t>
      </w:r>
      <w:r w:rsidRPr="00095C8B">
        <w:t xml:space="preserve"> </w:t>
      </w:r>
      <w:r w:rsidRPr="00095C8B" w:rsidR="00F21B71">
        <w:t xml:space="preserve">approximately 20-50 </w:t>
      </w:r>
      <w:r w:rsidRPr="00095C8B" w:rsidR="00FC1537">
        <w:t>persons. For private hire parties</w:t>
      </w:r>
      <w:r w:rsidR="00F50E63">
        <w:t>/</w:t>
      </w:r>
      <w:r w:rsidR="002B0757">
        <w:t>functions</w:t>
      </w:r>
      <w:r w:rsidRPr="00095C8B" w:rsidR="00FC1537">
        <w:t xml:space="preserve"> this could be </w:t>
      </w:r>
      <w:r w:rsidRPr="00095C8B" w:rsidR="00095C8B">
        <w:t xml:space="preserve">up to </w:t>
      </w:r>
      <w:r w:rsidR="00F7758F">
        <w:t>200</w:t>
      </w:r>
      <w:r w:rsidR="00BC3F45">
        <w:rPr>
          <w:color w:val="EE0000"/>
        </w:rPr>
        <w:t>*</w:t>
      </w:r>
      <w:r w:rsidR="00F7758F">
        <w:t xml:space="preserve"> persons. </w:t>
      </w:r>
      <w:r w:rsidR="00F7758F">
        <w:rPr>
          <w:color w:val="EE0000"/>
        </w:rPr>
        <w:t xml:space="preserve">This number needs </w:t>
      </w:r>
      <w:r w:rsidR="00842B71">
        <w:rPr>
          <w:color w:val="EE0000"/>
        </w:rPr>
        <w:t>clarifying.</w:t>
      </w:r>
    </w:p>
    <w:p w:rsidR="00095C8B" w:rsidP="007C1010" w:rsidRDefault="00095C8B" w14:paraId="2C97A2BA" w14:textId="77777777"/>
    <w:p w:rsidR="00095C8B" w:rsidP="007C1010" w:rsidRDefault="00A8225A" w14:paraId="550C3716" w14:textId="1494E45C">
      <w:r>
        <w:t xml:space="preserve">The premises can normally be in use from 08.00 to </w:t>
      </w:r>
      <w:r w:rsidR="008D0B4F">
        <w:t>24.00 hours. U</w:t>
      </w:r>
      <w:r w:rsidR="00060B8C">
        <w:t>n</w:t>
      </w:r>
      <w:r w:rsidR="008D0B4F">
        <w:t xml:space="preserve">less </w:t>
      </w:r>
      <w:r w:rsidR="0056049B">
        <w:t xml:space="preserve">used as a </w:t>
      </w:r>
      <w:r w:rsidR="00070A7E">
        <w:t>civil</w:t>
      </w:r>
      <w:r w:rsidR="0056049B">
        <w:t xml:space="preserve"> emergency centre, the </w:t>
      </w:r>
      <w:r w:rsidR="00070A7E">
        <w:t xml:space="preserve">premises is not occupied overnight. </w:t>
      </w:r>
    </w:p>
    <w:p w:rsidR="002B0F30" w:rsidP="007C1010" w:rsidRDefault="002B0F30" w14:paraId="5821582E" w14:textId="77777777"/>
    <w:p w:rsidRPr="00462EB9" w:rsidR="00D647C2" w:rsidP="007C1010" w:rsidRDefault="002B0F30" w14:paraId="13202720" w14:textId="3AD26B00">
      <w:r>
        <w:t xml:space="preserve">A lone worker </w:t>
      </w:r>
      <w:r w:rsidR="00083928">
        <w:t>safety policy exists for anyone visiting the hall alone.</w:t>
      </w:r>
    </w:p>
    <w:p w:rsidR="00BC3F45" w:rsidP="007C1010" w:rsidRDefault="00BC3F45" w14:paraId="28FB0194" w14:textId="77777777">
      <w:pPr>
        <w:rPr>
          <w:b/>
          <w:bCs/>
        </w:rPr>
      </w:pPr>
    </w:p>
    <w:p w:rsidRPr="0064308A" w:rsidR="0064308A" w:rsidP="007C1010" w:rsidRDefault="00D647C2" w14:paraId="0828B241" w14:textId="78A9E675">
      <w:pPr>
        <w:rPr>
          <w:b/>
          <w:bCs/>
        </w:rPr>
      </w:pPr>
      <w:r>
        <w:rPr>
          <w:b/>
          <w:bCs/>
        </w:rPr>
        <w:t xml:space="preserve">Premises </w:t>
      </w:r>
      <w:r w:rsidRPr="0064308A" w:rsidR="0064308A">
        <w:rPr>
          <w:b/>
          <w:bCs/>
        </w:rPr>
        <w:t>Electrical Services</w:t>
      </w:r>
      <w:r w:rsidR="00333E52">
        <w:rPr>
          <w:b/>
          <w:bCs/>
        </w:rPr>
        <w:t>:</w:t>
      </w:r>
    </w:p>
    <w:p w:rsidR="00BE3313" w:rsidP="007C1010" w:rsidRDefault="0064308A" w14:paraId="26484EC0" w14:textId="3EA1E075">
      <w:r w:rsidR="6AC0F7F9">
        <w:rPr/>
        <w:t>All electrical work</w:t>
      </w:r>
      <w:r w:rsidR="6AC0F7F9">
        <w:rPr/>
        <w:t xml:space="preserve"> at the premises</w:t>
      </w:r>
      <w:r w:rsidR="6AC0F7F9">
        <w:rPr/>
        <w:t xml:space="preserve"> is carried out by qualified contractors</w:t>
      </w:r>
      <w:r w:rsidR="6AC0F7F9">
        <w:rPr/>
        <w:t>/persons</w:t>
      </w:r>
      <w:r w:rsidR="6AC0F7F9">
        <w:rPr/>
        <w:t xml:space="preserve"> and building electrical safety inspections are carried out every 5 years for which a certificate is issued. </w:t>
      </w:r>
      <w:r w:rsidR="6AC0F7F9">
        <w:rPr/>
        <w:t xml:space="preserve">Hirers, </w:t>
      </w:r>
      <w:r w:rsidR="6AC0F7F9">
        <w:rPr/>
        <w:t>volunteers</w:t>
      </w:r>
      <w:r w:rsidR="6AC0F7F9">
        <w:rPr/>
        <w:t xml:space="preserve"> and </w:t>
      </w:r>
      <w:r w:rsidR="6AC0F7F9">
        <w:rPr/>
        <w:t xml:space="preserve">trustees are not </w:t>
      </w:r>
      <w:r w:rsidR="6AC0F7F9">
        <w:rPr/>
        <w:t>permitted</w:t>
      </w:r>
      <w:r w:rsidR="6AC0F7F9">
        <w:rPr/>
        <w:t xml:space="preserve"> to carry out electrical </w:t>
      </w:r>
      <w:r w:rsidR="6AC0F7F9">
        <w:rPr/>
        <w:t>services</w:t>
      </w:r>
      <w:r w:rsidR="6AC0F7F9">
        <w:rPr/>
        <w:t xml:space="preserve"> repairs. </w:t>
      </w:r>
    </w:p>
    <w:p w:rsidR="00333E52" w:rsidP="007C1010" w:rsidRDefault="00333E52" w14:paraId="29FC1781" w14:textId="77777777"/>
    <w:p w:rsidR="00C85585" w:rsidP="007C4EC4" w:rsidRDefault="00080AF6" w14:paraId="27DD1EB3" w14:textId="22B66053">
      <w:pPr>
        <w:rPr>
          <w:kern w:val="2"/>
          <w:sz w:val="22"/>
          <w:szCs w:val="22"/>
          <w14:ligatures w14:val="standardContextual"/>
        </w:rPr>
      </w:pPr>
      <w:r>
        <w:rPr>
          <w:b/>
          <w:bCs/>
        </w:rPr>
        <w:t xml:space="preserve">Potential </w:t>
      </w:r>
      <w:r w:rsidRPr="00FC00BD" w:rsidR="00C85585">
        <w:rPr>
          <w:b/>
          <w:bCs/>
        </w:rPr>
        <w:t>Fire Hazard Considerations</w:t>
      </w:r>
      <w:r>
        <w:rPr>
          <w:b/>
          <w:bCs/>
        </w:rPr>
        <w:t>:</w:t>
      </w:r>
    </w:p>
    <w:p w:rsidRPr="007C4EC4" w:rsidR="007C4EC4" w:rsidP="007C4EC4" w:rsidRDefault="00C85585" w14:paraId="5AACC6C7" w14:textId="10327D59">
      <w:pPr>
        <w:rPr>
          <w:kern w:val="2"/>
          <w:sz w:val="22"/>
          <w:szCs w:val="22"/>
          <w14:ligatures w14:val="standardContextual"/>
        </w:rPr>
      </w:pPr>
      <w:r>
        <w:rPr>
          <w:kern w:val="2"/>
          <w:sz w:val="22"/>
          <w:szCs w:val="22"/>
          <w14:ligatures w14:val="standardContextual"/>
        </w:rPr>
        <w:t>B</w:t>
      </w:r>
      <w:r w:rsidRPr="007C4EC4" w:rsidR="007C4EC4">
        <w:rPr>
          <w:kern w:val="2"/>
          <w:sz w:val="22"/>
          <w:szCs w:val="22"/>
          <w14:ligatures w14:val="standardContextual"/>
        </w:rPr>
        <w:t xml:space="preserve">uilding Electrical Safety inspections </w:t>
      </w:r>
      <w:r w:rsidR="006E116C">
        <w:rPr>
          <w:kern w:val="2"/>
          <w:sz w:val="22"/>
          <w:szCs w:val="22"/>
          <w14:ligatures w14:val="standardContextual"/>
        </w:rPr>
        <w:t>are</w:t>
      </w:r>
      <w:r w:rsidRPr="007C4EC4" w:rsidR="007C4EC4">
        <w:rPr>
          <w:kern w:val="2"/>
          <w:sz w:val="22"/>
          <w:szCs w:val="22"/>
          <w14:ligatures w14:val="standardContextual"/>
        </w:rPr>
        <w:t xml:space="preserve"> carried out periodically</w:t>
      </w:r>
      <w:r w:rsidR="00652885">
        <w:rPr>
          <w:kern w:val="2"/>
          <w:sz w:val="22"/>
          <w:szCs w:val="22"/>
          <w14:ligatures w14:val="standardContextual"/>
        </w:rPr>
        <w:t xml:space="preserve"> (5 ye</w:t>
      </w:r>
      <w:r w:rsidR="00C13DBF">
        <w:rPr>
          <w:kern w:val="2"/>
          <w:sz w:val="22"/>
          <w:szCs w:val="22"/>
          <w14:ligatures w14:val="standardContextual"/>
        </w:rPr>
        <w:t>ars)</w:t>
      </w:r>
      <w:r w:rsidRPr="007C4EC4" w:rsidR="007C4EC4">
        <w:rPr>
          <w:kern w:val="2"/>
          <w:sz w:val="22"/>
          <w:szCs w:val="22"/>
          <w14:ligatures w14:val="standardContextual"/>
        </w:rPr>
        <w:t xml:space="preserve"> and a copy of the certification held in the Charity Manager’s H&amp;S file.</w:t>
      </w:r>
    </w:p>
    <w:p w:rsidR="007C4EC4" w:rsidP="007C1010" w:rsidRDefault="007C4EC4" w14:paraId="490ACEFB" w14:textId="77777777">
      <w:pPr>
        <w:rPr>
          <w:kern w:val="2"/>
          <w:sz w:val="22"/>
          <w:szCs w:val="22"/>
          <w14:ligatures w14:val="standardContextual"/>
        </w:rPr>
      </w:pPr>
    </w:p>
    <w:p w:rsidR="006E116C" w:rsidP="007C1010" w:rsidRDefault="006E116C" w14:paraId="0AC0E5C6" w14:textId="04D8EBFD">
      <w:r>
        <w:rPr>
          <w:kern w:val="2"/>
          <w:sz w:val="22"/>
          <w:szCs w:val="22"/>
          <w14:ligatures w14:val="standardContextual"/>
        </w:rPr>
        <w:t xml:space="preserve">The </w:t>
      </w:r>
      <w:r w:rsidR="003640A4">
        <w:rPr>
          <w:kern w:val="2"/>
          <w:sz w:val="22"/>
          <w:szCs w:val="22"/>
          <w14:ligatures w14:val="standardContextual"/>
        </w:rPr>
        <w:t xml:space="preserve">premises </w:t>
      </w:r>
      <w:r>
        <w:rPr>
          <w:kern w:val="2"/>
          <w:sz w:val="22"/>
          <w:szCs w:val="22"/>
          <w14:ligatures w14:val="standardContextual"/>
        </w:rPr>
        <w:t xml:space="preserve">electrical installation </w:t>
      </w:r>
      <w:proofErr w:type="gramStart"/>
      <w:r>
        <w:rPr>
          <w:kern w:val="2"/>
          <w:sz w:val="22"/>
          <w:szCs w:val="22"/>
          <w14:ligatures w14:val="standardContextual"/>
        </w:rPr>
        <w:t xml:space="preserve">is considered </w:t>
      </w:r>
      <w:r w:rsidR="003E64F9">
        <w:rPr>
          <w:kern w:val="2"/>
          <w:sz w:val="22"/>
          <w:szCs w:val="22"/>
          <w14:ligatures w14:val="standardContextual"/>
        </w:rPr>
        <w:t>to be</w:t>
      </w:r>
      <w:proofErr w:type="gramEnd"/>
      <w:r w:rsidR="003E64F9">
        <w:rPr>
          <w:kern w:val="2"/>
          <w:sz w:val="22"/>
          <w:szCs w:val="22"/>
          <w14:ligatures w14:val="standardContextual"/>
        </w:rPr>
        <w:t xml:space="preserve"> safe, </w:t>
      </w:r>
      <w:r w:rsidR="00BA07A0">
        <w:rPr>
          <w:kern w:val="2"/>
          <w:sz w:val="22"/>
          <w:szCs w:val="22"/>
          <w14:ligatures w14:val="standardContextual"/>
        </w:rPr>
        <w:t>encompassing</w:t>
      </w:r>
      <w:r w:rsidR="005A000A">
        <w:rPr>
          <w:kern w:val="2"/>
          <w:sz w:val="22"/>
          <w:szCs w:val="22"/>
          <w14:ligatures w14:val="standardContextual"/>
        </w:rPr>
        <w:t xml:space="preserve">, </w:t>
      </w:r>
      <w:r w:rsidR="00BA07A0">
        <w:rPr>
          <w:kern w:val="2"/>
          <w:sz w:val="22"/>
          <w:szCs w:val="22"/>
          <w14:ligatures w14:val="standardContextual"/>
        </w:rPr>
        <w:t>overload</w:t>
      </w:r>
      <w:r w:rsidR="005A000A">
        <w:rPr>
          <w:kern w:val="2"/>
          <w:sz w:val="22"/>
          <w:szCs w:val="22"/>
          <w14:ligatures w14:val="standardContextual"/>
        </w:rPr>
        <w:t xml:space="preserve"> and </w:t>
      </w:r>
      <w:r w:rsidR="00BA07A0">
        <w:rPr>
          <w:kern w:val="2"/>
          <w:sz w:val="22"/>
          <w:szCs w:val="22"/>
          <w14:ligatures w14:val="standardContextual"/>
        </w:rPr>
        <w:t>electric</w:t>
      </w:r>
      <w:r w:rsidR="005A000A">
        <w:rPr>
          <w:kern w:val="2"/>
          <w:sz w:val="22"/>
          <w:szCs w:val="22"/>
          <w14:ligatures w14:val="standardContextual"/>
        </w:rPr>
        <w:t xml:space="preserve"> shock </w:t>
      </w:r>
      <w:r w:rsidR="00BA07A0">
        <w:rPr>
          <w:kern w:val="2"/>
          <w:sz w:val="22"/>
          <w:szCs w:val="22"/>
          <w14:ligatures w14:val="standardContextual"/>
        </w:rPr>
        <w:t>safety</w:t>
      </w:r>
      <w:r w:rsidR="005A000A">
        <w:rPr>
          <w:kern w:val="2"/>
          <w:sz w:val="22"/>
          <w:szCs w:val="22"/>
          <w14:ligatures w14:val="standardContextual"/>
        </w:rPr>
        <w:t xml:space="preserve"> </w:t>
      </w:r>
      <w:r w:rsidR="00BA07A0">
        <w:rPr>
          <w:kern w:val="2"/>
          <w:sz w:val="22"/>
          <w:szCs w:val="22"/>
          <w14:ligatures w14:val="standardContextual"/>
        </w:rPr>
        <w:t>protection</w:t>
      </w:r>
      <w:r w:rsidR="00430237">
        <w:rPr>
          <w:kern w:val="2"/>
          <w:sz w:val="22"/>
          <w:szCs w:val="22"/>
          <w14:ligatures w14:val="standardContextual"/>
        </w:rPr>
        <w:t xml:space="preserve"> devices</w:t>
      </w:r>
      <w:r w:rsidR="00EB3BAC">
        <w:rPr>
          <w:kern w:val="2"/>
          <w:sz w:val="22"/>
          <w:szCs w:val="22"/>
          <w14:ligatures w14:val="standardContextual"/>
        </w:rPr>
        <w:t>.</w:t>
      </w:r>
    </w:p>
    <w:p w:rsidR="00AE4D61" w:rsidP="007C1010" w:rsidRDefault="00AE4D61" w14:paraId="7E5853DB" w14:textId="77777777"/>
    <w:p w:rsidR="00333E52" w:rsidP="007C1010" w:rsidRDefault="00333E52" w14:paraId="75BE7C4A" w14:textId="32EE62FD">
      <w:r>
        <w:t>Regular Portable Appliance Testing of equipment is carried out by a qualified contractor.</w:t>
      </w:r>
    </w:p>
    <w:p w:rsidR="00333E52" w:rsidP="007C1010" w:rsidRDefault="00333E52" w14:paraId="1AF8A9A3" w14:textId="77777777"/>
    <w:p w:rsidR="00047237" w:rsidP="007C1010" w:rsidRDefault="0064308A" w14:paraId="2D11BE57" w14:textId="4BDE34D3">
      <w:r>
        <w:t xml:space="preserve">No </w:t>
      </w:r>
      <w:r w:rsidR="00333E52">
        <w:t xml:space="preserve">permanent </w:t>
      </w:r>
      <w:r>
        <w:t xml:space="preserve">extension leads are used </w:t>
      </w:r>
      <w:r w:rsidR="00333E52">
        <w:t>on the</w:t>
      </w:r>
      <w:r>
        <w:t xml:space="preserve"> </w:t>
      </w:r>
      <w:r w:rsidR="00B20C91">
        <w:t>premises,</w:t>
      </w:r>
      <w:r w:rsidR="00333E52">
        <w:t xml:space="preserve"> </w:t>
      </w:r>
      <w:r>
        <w:t xml:space="preserve">and </w:t>
      </w:r>
      <w:r w:rsidR="00333E52">
        <w:t>temporary leads</w:t>
      </w:r>
      <w:r>
        <w:t xml:space="preserve"> </w:t>
      </w:r>
      <w:r w:rsidR="00333E52">
        <w:t>are</w:t>
      </w:r>
      <w:r>
        <w:t xml:space="preserve"> </w:t>
      </w:r>
      <w:r w:rsidR="00333E52">
        <w:t>disconnected</w:t>
      </w:r>
      <w:r>
        <w:t xml:space="preserve"> when the premises is empty.</w:t>
      </w:r>
    </w:p>
    <w:p w:rsidR="00CF2FEF" w:rsidP="007C1010" w:rsidRDefault="00CF2FEF" w14:paraId="75977C38" w14:textId="77777777"/>
    <w:p w:rsidR="002873C8" w:rsidP="007C1010" w:rsidRDefault="00CF2FEF" w14:paraId="352759F8" w14:textId="43442E2C">
      <w:r>
        <w:t xml:space="preserve">Care must be </w:t>
      </w:r>
      <w:r w:rsidR="009B5B55">
        <w:t>taken</w:t>
      </w:r>
      <w:r>
        <w:t xml:space="preserve"> not to overload </w:t>
      </w:r>
      <w:r w:rsidR="005B4163">
        <w:t xml:space="preserve">electrical </w:t>
      </w:r>
      <w:r w:rsidR="009B5B55">
        <w:t>circuits</w:t>
      </w:r>
      <w:r w:rsidR="00E83D96">
        <w:t xml:space="preserve"> or tempor</w:t>
      </w:r>
      <w:r w:rsidR="009B5B55">
        <w:t>ar</w:t>
      </w:r>
      <w:r w:rsidR="00E83D96">
        <w:t>y</w:t>
      </w:r>
      <w:r w:rsidR="005B4163">
        <w:t xml:space="preserve"> power</w:t>
      </w:r>
      <w:r w:rsidR="00E83D96">
        <w:t xml:space="preserve"> leads.</w:t>
      </w:r>
      <w:r w:rsidR="009B5B55">
        <w:t xml:space="preserve"> Ens</w:t>
      </w:r>
      <w:r w:rsidR="005B7E5B">
        <w:t xml:space="preserve">ure leads </w:t>
      </w:r>
      <w:r w:rsidR="00052F28">
        <w:t xml:space="preserve">are </w:t>
      </w:r>
      <w:r w:rsidR="005B7E5B">
        <w:t xml:space="preserve">safe from </w:t>
      </w:r>
      <w:r w:rsidR="002873C8">
        <w:t xml:space="preserve">damage and </w:t>
      </w:r>
      <w:r w:rsidR="005B7E5B">
        <w:t>do not cause a trip hazard</w:t>
      </w:r>
      <w:r w:rsidR="002873C8">
        <w:t>.</w:t>
      </w:r>
    </w:p>
    <w:p w:rsidR="00BA07A0" w:rsidP="007C1010" w:rsidRDefault="00BA07A0" w14:paraId="748A30D0" w14:textId="77777777"/>
    <w:p w:rsidR="00BA07A0" w:rsidP="007C1010" w:rsidRDefault="00BA07A0" w14:paraId="5CFAD1CC" w14:textId="4FC26966">
      <w:r>
        <w:t xml:space="preserve">The </w:t>
      </w:r>
      <w:r w:rsidR="001B3623">
        <w:t xml:space="preserve">premises </w:t>
      </w:r>
      <w:r>
        <w:t xml:space="preserve">main </w:t>
      </w:r>
      <w:r w:rsidR="004A0DC3">
        <w:t xml:space="preserve">electrical supply and distribution </w:t>
      </w:r>
      <w:r w:rsidR="00253BA4">
        <w:t xml:space="preserve">circuitry is </w:t>
      </w:r>
      <w:r w:rsidR="00A8666C">
        <w:t>in the building</w:t>
      </w:r>
      <w:r w:rsidR="005B4163">
        <w:t>'</w:t>
      </w:r>
      <w:r w:rsidR="00A8666C">
        <w:t>s 'Electrical Cup</w:t>
      </w:r>
      <w:r w:rsidR="00E86C36">
        <w:t>board</w:t>
      </w:r>
      <w:r w:rsidR="00A6531F">
        <w:t>'</w:t>
      </w:r>
      <w:r w:rsidR="00E86C36">
        <w:t xml:space="preserve">, </w:t>
      </w:r>
      <w:r w:rsidR="001B3623">
        <w:t>which is</w:t>
      </w:r>
      <w:r w:rsidR="00E86C36">
        <w:t xml:space="preserve"> kept locked, with a key being available</w:t>
      </w:r>
      <w:r w:rsidR="001C733B">
        <w:t xml:space="preserve"> in the key </w:t>
      </w:r>
      <w:r w:rsidR="00C50FEE">
        <w:t>safe for</w:t>
      </w:r>
      <w:r w:rsidR="00E86C36">
        <w:t xml:space="preserve"> </w:t>
      </w:r>
      <w:r w:rsidR="001B3623">
        <w:t xml:space="preserve">access. </w:t>
      </w:r>
    </w:p>
    <w:p w:rsidR="00C13DBF" w:rsidP="007C1010" w:rsidRDefault="00C13DBF" w14:paraId="126B5ACC" w14:textId="77777777"/>
    <w:p w:rsidRPr="00E34BD3" w:rsidR="00E34BD3" w:rsidP="007C1010" w:rsidRDefault="00E34BD3" w14:paraId="01D65021" w14:textId="5F42B99E">
      <w:pPr>
        <w:rPr>
          <w:b/>
          <w:bCs/>
        </w:rPr>
      </w:pPr>
      <w:r w:rsidRPr="00E34BD3">
        <w:rPr>
          <w:b/>
          <w:bCs/>
        </w:rPr>
        <w:t>Smoking</w:t>
      </w:r>
    </w:p>
    <w:p w:rsidR="00D647C2" w:rsidP="007C1010" w:rsidRDefault="002208D1" w14:paraId="65D35C25" w14:textId="46D41C13">
      <w:r>
        <w:t>No smoking is permitted within the building</w:t>
      </w:r>
      <w:r w:rsidR="0066273A">
        <w:t xml:space="preserve">. </w:t>
      </w:r>
      <w:r w:rsidR="007208AA">
        <w:t>Visitors</w:t>
      </w:r>
      <w:r w:rsidR="0066273A">
        <w:t xml:space="preserve"> are encourage</w:t>
      </w:r>
      <w:r w:rsidR="00B103A9">
        <w:t>d</w:t>
      </w:r>
      <w:r w:rsidR="0066273A">
        <w:t xml:space="preserve"> not to smoke </w:t>
      </w:r>
      <w:r w:rsidR="007208AA">
        <w:t>around</w:t>
      </w:r>
      <w:r w:rsidR="0066273A">
        <w:t xml:space="preserve"> the </w:t>
      </w:r>
      <w:r w:rsidR="007208AA">
        <w:t xml:space="preserve">perimeter of the </w:t>
      </w:r>
      <w:r w:rsidR="003E2D5B">
        <w:t>building</w:t>
      </w:r>
      <w:r w:rsidR="00BF24E0">
        <w:t xml:space="preserve">. To discourage </w:t>
      </w:r>
      <w:r w:rsidR="005B3EC1">
        <w:t>visitors</w:t>
      </w:r>
      <w:r w:rsidR="00BF24E0">
        <w:t xml:space="preserve"> from smoking close to the </w:t>
      </w:r>
      <w:r w:rsidR="005B3EC1">
        <w:t>building,</w:t>
      </w:r>
      <w:r w:rsidR="00CB4108">
        <w:t xml:space="preserve"> a cigarette bin was </w:t>
      </w:r>
      <w:r w:rsidR="0040736C">
        <w:t>recently</w:t>
      </w:r>
      <w:r w:rsidR="00CB4108">
        <w:t xml:space="preserve"> removed f</w:t>
      </w:r>
      <w:r w:rsidR="0040736C">
        <w:t>rom the entrance to the building</w:t>
      </w:r>
      <w:r w:rsidR="005B3EC1">
        <w:t xml:space="preserve"> (May 25)</w:t>
      </w:r>
      <w:r w:rsidR="0019325A">
        <w:t xml:space="preserve">. </w:t>
      </w:r>
      <w:r w:rsidR="00805BFF">
        <w:t xml:space="preserve">No smoking and vaping signs are displayed at the </w:t>
      </w:r>
      <w:r w:rsidR="00B35598">
        <w:t>premises.</w:t>
      </w:r>
    </w:p>
    <w:p w:rsidR="003E2D5B" w:rsidP="007C1010" w:rsidRDefault="003E2D5B" w14:paraId="61FE2605" w14:textId="77777777"/>
    <w:p w:rsidR="003E2D5B" w:rsidP="007C1010" w:rsidRDefault="003E2D5B" w14:paraId="623DD47E" w14:textId="74CE73CB">
      <w:pPr>
        <w:rPr>
          <w:b/>
          <w:bCs/>
        </w:rPr>
      </w:pPr>
      <w:r w:rsidRPr="003E2D5B">
        <w:rPr>
          <w:b/>
          <w:bCs/>
        </w:rPr>
        <w:t>Arson</w:t>
      </w:r>
      <w:r>
        <w:rPr>
          <w:b/>
          <w:bCs/>
        </w:rPr>
        <w:t>:</w:t>
      </w:r>
    </w:p>
    <w:p w:rsidR="003E2D5B" w:rsidP="007C1010" w:rsidRDefault="002C353C" w14:paraId="56408F68" w14:textId="10E717A9">
      <w:r w:rsidR="6AC0F7F9">
        <w:rPr/>
        <w:t>Arson is always a concern</w:t>
      </w:r>
      <w:r w:rsidRPr="6AC0F7F9" w:rsidR="6AC0F7F9">
        <w:rPr>
          <w:b w:val="1"/>
          <w:bCs w:val="1"/>
        </w:rPr>
        <w:t xml:space="preserve">. </w:t>
      </w:r>
      <w:r w:rsidR="6AC0F7F9">
        <w:rPr/>
        <w:t xml:space="preserve">The </w:t>
      </w:r>
      <w:r w:rsidR="6AC0F7F9">
        <w:rPr/>
        <w:t>building</w:t>
      </w:r>
      <w:r w:rsidR="6AC0F7F9">
        <w:rPr/>
        <w:t xml:space="preserve"> is locked when not in </w:t>
      </w:r>
      <w:r w:rsidR="6AC0F7F9">
        <w:rPr/>
        <w:t>authorised</w:t>
      </w:r>
      <w:r w:rsidR="6AC0F7F9">
        <w:rPr/>
        <w:t xml:space="preserve"> </w:t>
      </w:r>
      <w:r w:rsidR="6AC0F7F9">
        <w:rPr/>
        <w:t>use. A</w:t>
      </w:r>
      <w:r w:rsidR="6AC0F7F9">
        <w:rPr/>
        <w:t xml:space="preserve"> CCTV sys</w:t>
      </w:r>
      <w:r w:rsidR="6AC0F7F9">
        <w:rPr/>
        <w:t xml:space="preserve">tem is in </w:t>
      </w:r>
      <w:r w:rsidR="6AC0F7F9">
        <w:rPr/>
        <w:t>use</w:t>
      </w:r>
      <w:r w:rsidR="6AC0F7F9">
        <w:rPr/>
        <w:t xml:space="preserve"> and notices are </w:t>
      </w:r>
      <w:r w:rsidR="6AC0F7F9">
        <w:rPr/>
        <w:t xml:space="preserve">displayed </w:t>
      </w:r>
      <w:r w:rsidR="6AC0F7F9">
        <w:rPr/>
        <w:t>warning of the CCTV system.</w:t>
      </w:r>
    </w:p>
    <w:p w:rsidR="006F1B0F" w:rsidP="007C1010" w:rsidRDefault="006F1B0F" w14:paraId="2AB2FE68" w14:textId="77777777"/>
    <w:p w:rsidR="006F1B0F" w:rsidP="007C1010" w:rsidRDefault="006F1B0F" w14:paraId="59E2F35D" w14:textId="76ED23D7">
      <w:r>
        <w:t xml:space="preserve">The waste skip is stored away from the sides of the building and is kept locked. </w:t>
      </w:r>
    </w:p>
    <w:p w:rsidR="00017D74" w:rsidP="007C1010" w:rsidRDefault="00017D74" w14:paraId="05CD036A" w14:textId="77777777"/>
    <w:p w:rsidR="00017D74" w:rsidP="007C1010" w:rsidRDefault="00017D74" w14:paraId="5AC6DB5D" w14:textId="16C5ED93">
      <w:r>
        <w:t xml:space="preserve">No combustible materials are stored </w:t>
      </w:r>
      <w:r w:rsidR="00542B10">
        <w:t>in or</w:t>
      </w:r>
      <w:r w:rsidR="00D23D3F">
        <w:t xml:space="preserve"> </w:t>
      </w:r>
      <w:r>
        <w:t xml:space="preserve">close to the building. </w:t>
      </w:r>
    </w:p>
    <w:p w:rsidR="00420989" w:rsidP="007C1010" w:rsidRDefault="00420989" w14:paraId="1447A6C4" w14:textId="77777777"/>
    <w:p w:rsidR="00420989" w:rsidP="007C1010" w:rsidRDefault="00420989" w14:paraId="67D03801" w14:textId="26CEDFC4">
      <w:r w:rsidR="6AC0F7F9">
        <w:rPr/>
        <w:t xml:space="preserve">The building does not have a </w:t>
      </w:r>
      <w:r w:rsidR="6AC0F7F9">
        <w:rPr/>
        <w:t xml:space="preserve">letterbox; </w:t>
      </w:r>
      <w:r w:rsidR="6AC0F7F9">
        <w:rPr/>
        <w:t xml:space="preserve"> an external </w:t>
      </w:r>
      <w:r w:rsidR="6AC0F7F9">
        <w:rPr/>
        <w:t>letter</w:t>
      </w:r>
      <w:r w:rsidR="6AC0F7F9">
        <w:rPr/>
        <w:t xml:space="preserve">box is fitted. </w:t>
      </w:r>
    </w:p>
    <w:p w:rsidR="009C727C" w:rsidP="007C1010" w:rsidRDefault="009C727C" w14:paraId="17561C0A" w14:textId="77777777"/>
    <w:p w:rsidRPr="006F1B0F" w:rsidR="009C727C" w:rsidP="007C1010" w:rsidRDefault="009C727C" w14:paraId="54EB1D25" w14:textId="4C3725D8">
      <w:r>
        <w:t xml:space="preserve">Acton has a </w:t>
      </w:r>
      <w:r w:rsidR="003B539C">
        <w:t xml:space="preserve">very low crime rate and no </w:t>
      </w:r>
      <w:r w:rsidR="00FE45E1">
        <w:t>vandalism</w:t>
      </w:r>
      <w:r w:rsidR="003B539C">
        <w:t xml:space="preserve"> </w:t>
      </w:r>
      <w:r w:rsidR="00FE45E1">
        <w:t xml:space="preserve">to the premises has </w:t>
      </w:r>
      <w:r w:rsidR="00BC3F45">
        <w:t>been</w:t>
      </w:r>
      <w:r w:rsidR="00FE45E1">
        <w:t xml:space="preserve"> recorded for </w:t>
      </w:r>
      <w:r w:rsidR="00ED4C26">
        <w:t>at least 10</w:t>
      </w:r>
      <w:r w:rsidR="00FE45E1">
        <w:t xml:space="preserve"> years</w:t>
      </w:r>
      <w:r w:rsidR="00ED4C26">
        <w:t xml:space="preserve"> (Jan 25)</w:t>
      </w:r>
      <w:r w:rsidR="00FE45E1">
        <w:t xml:space="preserve">. </w:t>
      </w:r>
    </w:p>
    <w:p w:rsidR="00B103A9" w:rsidP="007C1010" w:rsidRDefault="00B103A9" w14:paraId="63477AF8" w14:textId="77777777"/>
    <w:p w:rsidR="00462EB9" w:rsidP="007C1010" w:rsidRDefault="00462EB9" w14:paraId="32DB91F2" w14:textId="77777777">
      <w:pPr>
        <w:rPr>
          <w:b/>
          <w:bCs/>
        </w:rPr>
      </w:pPr>
    </w:p>
    <w:p w:rsidR="00462EB9" w:rsidP="007C1010" w:rsidRDefault="00462EB9" w14:paraId="7A65A673" w14:textId="77777777">
      <w:pPr>
        <w:rPr>
          <w:b/>
          <w:bCs/>
        </w:rPr>
      </w:pPr>
    </w:p>
    <w:p w:rsidR="00063937" w:rsidP="007C1010" w:rsidRDefault="0037468A" w14:paraId="64150885" w14:textId="2C7AB45A">
      <w:pPr>
        <w:rPr>
          <w:b/>
          <w:bCs/>
        </w:rPr>
      </w:pPr>
      <w:r w:rsidRPr="0037468A">
        <w:rPr>
          <w:b/>
          <w:bCs/>
        </w:rPr>
        <w:t>Portable</w:t>
      </w:r>
      <w:r w:rsidRPr="0037468A" w:rsidR="00063937">
        <w:rPr>
          <w:b/>
          <w:bCs/>
        </w:rPr>
        <w:t xml:space="preserve"> Heaters</w:t>
      </w:r>
      <w:r w:rsidRPr="0037468A">
        <w:rPr>
          <w:b/>
          <w:bCs/>
        </w:rPr>
        <w:t xml:space="preserve"> and Installation</w:t>
      </w:r>
      <w:r>
        <w:rPr>
          <w:b/>
          <w:bCs/>
        </w:rPr>
        <w:t>s.</w:t>
      </w:r>
    </w:p>
    <w:p w:rsidR="0037468A" w:rsidP="007C1010" w:rsidRDefault="00524EAF" w14:paraId="14DFAAFA" w14:textId="329FC760">
      <w:r w:rsidR="6AC0F7F9">
        <w:rPr/>
        <w:t>PAT tested portable heaters are</w:t>
      </w:r>
      <w:r w:rsidR="6AC0F7F9">
        <w:rPr/>
        <w:t xml:space="preserve"> available for </w:t>
      </w:r>
      <w:r w:rsidR="6AC0F7F9">
        <w:rPr/>
        <w:t>emergency</w:t>
      </w:r>
      <w:r w:rsidR="6AC0F7F9">
        <w:rPr/>
        <w:t xml:space="preserve"> use only. </w:t>
      </w:r>
      <w:r w:rsidR="6AC0F7F9">
        <w:rPr/>
        <w:t xml:space="preserve"> </w:t>
      </w:r>
      <w:r w:rsidR="6AC0F7F9">
        <w:rPr/>
        <w:t xml:space="preserve">Only </w:t>
      </w:r>
      <w:r w:rsidR="6AC0F7F9">
        <w:rPr/>
        <w:t>c</w:t>
      </w:r>
      <w:r w:rsidR="6AC0F7F9">
        <w:rPr/>
        <w:t xml:space="preserve">onvector and oil filled radiator heaters are </w:t>
      </w:r>
      <w:r w:rsidR="6AC0F7F9">
        <w:rPr/>
        <w:t>available</w:t>
      </w:r>
      <w:r w:rsidR="6AC0F7F9">
        <w:rPr/>
        <w:t xml:space="preserve">.  </w:t>
      </w:r>
    </w:p>
    <w:p w:rsidR="00734FC8" w:rsidP="007C1010" w:rsidRDefault="00682241" w14:paraId="6581641C" w14:textId="64919417">
      <w:r w:rsidR="6AC0F7F9">
        <w:rPr/>
        <w:t>Naked flame and electric bar heaters are not to be used</w:t>
      </w:r>
      <w:r w:rsidR="6AC0F7F9">
        <w:rPr/>
        <w:t xml:space="preserve"> or broug</w:t>
      </w:r>
      <w:r w:rsidR="6AC0F7F9">
        <w:rPr/>
        <w:t>ht onto the premises</w:t>
      </w:r>
      <w:r w:rsidR="6AC0F7F9">
        <w:rPr/>
        <w:t xml:space="preserve">. </w:t>
      </w:r>
    </w:p>
    <w:p w:rsidR="00287C5A" w:rsidP="007C1010" w:rsidRDefault="00287C5A" w14:paraId="4AF4DB62" w14:textId="77777777"/>
    <w:p w:rsidR="00287C5A" w:rsidP="007C1010" w:rsidRDefault="007D5601" w14:paraId="0DE24A0E" w14:textId="7D5E1CD8">
      <w:r>
        <w:t xml:space="preserve">The </w:t>
      </w:r>
      <w:r w:rsidR="005E56EB">
        <w:t>building's</w:t>
      </w:r>
      <w:r>
        <w:t xml:space="preserve"> </w:t>
      </w:r>
      <w:r w:rsidR="0024096F">
        <w:t xml:space="preserve">normal </w:t>
      </w:r>
      <w:r>
        <w:t xml:space="preserve">source of heating is a gas fired boiler </w:t>
      </w:r>
      <w:r w:rsidR="005E56EB">
        <w:t xml:space="preserve">supplying hot water to radiators. </w:t>
      </w:r>
    </w:p>
    <w:p w:rsidR="005E56EB" w:rsidP="007C1010" w:rsidRDefault="005E56EB" w14:paraId="3717148B" w14:textId="77777777"/>
    <w:p w:rsidR="00734FC8" w:rsidP="007C1010" w:rsidRDefault="009535CA" w14:paraId="67DE2DAD" w14:textId="32FA2497">
      <w:r>
        <w:t xml:space="preserve">The main hall radiators incorporate </w:t>
      </w:r>
      <w:r w:rsidR="005530BC">
        <w:t xml:space="preserve">electric </w:t>
      </w:r>
      <w:r>
        <w:t>booster fans</w:t>
      </w:r>
      <w:r w:rsidR="005530BC">
        <w:t xml:space="preserve">. The </w:t>
      </w:r>
      <w:r w:rsidR="005F0C2E">
        <w:t>fan cabinets are cleaned annually as p</w:t>
      </w:r>
      <w:r w:rsidR="00B16625">
        <w:t>a</w:t>
      </w:r>
      <w:r w:rsidR="005F0C2E">
        <w:t xml:space="preserve">rt of the </w:t>
      </w:r>
      <w:r w:rsidR="00905C56">
        <w:t xml:space="preserve">annual </w:t>
      </w:r>
      <w:r w:rsidR="005F0C2E">
        <w:t>boiler servicing and safety check.</w:t>
      </w:r>
    </w:p>
    <w:p w:rsidR="00905C56" w:rsidP="007C1010" w:rsidRDefault="00905C56" w14:paraId="4C8EA60D" w14:textId="77777777"/>
    <w:p w:rsidR="003A256F" w:rsidP="007C1010" w:rsidRDefault="00905C56" w14:paraId="0FF01757" w14:textId="77777777">
      <w:pPr>
        <w:rPr>
          <w:b/>
          <w:bCs/>
        </w:rPr>
      </w:pPr>
      <w:r w:rsidRPr="003A256F">
        <w:rPr>
          <w:b/>
          <w:bCs/>
        </w:rPr>
        <w:t>Cooking</w:t>
      </w:r>
      <w:r w:rsidR="003A256F">
        <w:rPr>
          <w:b/>
          <w:bCs/>
        </w:rPr>
        <w:t>:</w:t>
      </w:r>
    </w:p>
    <w:p w:rsidR="00201DD2" w:rsidP="007C1010" w:rsidRDefault="003315EB" w14:paraId="32905E9C" w14:textId="77777777">
      <w:r w:rsidRPr="00696E85">
        <w:t xml:space="preserve">No deep fat </w:t>
      </w:r>
      <w:r w:rsidRPr="00696E85" w:rsidR="00534F1A">
        <w:t xml:space="preserve">or fryers are used within the building. Fire </w:t>
      </w:r>
      <w:r w:rsidRPr="00696E85" w:rsidR="00AF530B">
        <w:t xml:space="preserve">equipment is </w:t>
      </w:r>
      <w:r w:rsidRPr="00696E85" w:rsidR="00794D11">
        <w:t>available</w:t>
      </w:r>
      <w:r w:rsidRPr="00696E85" w:rsidR="00AF530B">
        <w:t xml:space="preserve"> </w:t>
      </w:r>
      <w:r w:rsidRPr="00696E85" w:rsidR="00794D11">
        <w:t>in</w:t>
      </w:r>
      <w:r w:rsidRPr="00696E85" w:rsidR="00AF530B">
        <w:t xml:space="preserve"> the kit</w:t>
      </w:r>
      <w:r w:rsidRPr="00696E85" w:rsidR="00794D11">
        <w:t>chen.</w:t>
      </w:r>
    </w:p>
    <w:p w:rsidR="00201DD2" w:rsidP="007C1010" w:rsidRDefault="00201DD2" w14:paraId="4385892D" w14:textId="77777777"/>
    <w:p w:rsidRPr="00424C52" w:rsidR="001022CD" w:rsidP="007C1010" w:rsidRDefault="006B5B06" w14:paraId="79F2E21A" w14:textId="2A79D0F7">
      <w:r w:rsidRPr="00424C52">
        <w:t xml:space="preserve">The cooker extraction is ducted </w:t>
      </w:r>
      <w:r w:rsidRPr="00424C52" w:rsidR="0015648B">
        <w:t xml:space="preserve">to the </w:t>
      </w:r>
      <w:r w:rsidRPr="00424C52" w:rsidR="00BB48E6">
        <w:t>outside</w:t>
      </w:r>
      <w:r w:rsidR="00424C52">
        <w:t>. The contract cleaner</w:t>
      </w:r>
      <w:r w:rsidR="0095209E">
        <w:t xml:space="preserve"> regularly</w:t>
      </w:r>
      <w:r w:rsidR="00424C52">
        <w:t xml:space="preserve"> </w:t>
      </w:r>
      <w:r w:rsidR="0095209E">
        <w:t xml:space="preserve">inspects the filters and </w:t>
      </w:r>
      <w:r w:rsidRPr="00424C52" w:rsidR="00922A1E">
        <w:t>clean</w:t>
      </w:r>
      <w:r w:rsidR="007B1071">
        <w:t>s them</w:t>
      </w:r>
      <w:r w:rsidR="00410CAF">
        <w:t xml:space="preserve"> in the dishwasher as necessary.</w:t>
      </w:r>
    </w:p>
    <w:p w:rsidR="001022CD" w:rsidP="007C1010" w:rsidRDefault="001022CD" w14:paraId="20C315D4" w14:textId="77777777">
      <w:pPr>
        <w:rPr>
          <w:color w:val="EE0000"/>
        </w:rPr>
      </w:pPr>
    </w:p>
    <w:p w:rsidRPr="006B60FE" w:rsidR="005E56EB" w:rsidP="007C1010" w:rsidRDefault="009535CA" w14:paraId="2C7FC541" w14:textId="381DE098">
      <w:pPr>
        <w:rPr>
          <w:b w:val="1"/>
          <w:bCs w:val="1"/>
        </w:rPr>
      </w:pPr>
      <w:r w:rsidRPr="6AC0F7F9" w:rsidR="6AC0F7F9">
        <w:rPr>
          <w:b w:val="1"/>
          <w:bCs w:val="1"/>
        </w:rPr>
        <w:t xml:space="preserve"> </w:t>
      </w:r>
      <w:r w:rsidRPr="6AC0F7F9" w:rsidR="6AC0F7F9">
        <w:rPr>
          <w:b w:val="1"/>
          <w:bCs w:val="1"/>
        </w:rPr>
        <w:t>Lightning</w:t>
      </w:r>
      <w:r w:rsidRPr="6AC0F7F9" w:rsidR="6AC0F7F9">
        <w:rPr>
          <w:b w:val="1"/>
          <w:bCs w:val="1"/>
        </w:rPr>
        <w:t>:</w:t>
      </w:r>
    </w:p>
    <w:p w:rsidR="0037468A" w:rsidP="007C1010" w:rsidRDefault="00EF5177" w14:paraId="2DB99380" w14:textId="7BD1F8F5">
      <w:r w:rsidR="6AC0F7F9">
        <w:rPr/>
        <w:t>The building is not considered to</w:t>
      </w:r>
      <w:r w:rsidR="6AC0F7F9">
        <w:rPr/>
        <w:t xml:space="preserve"> be </w:t>
      </w:r>
      <w:r w:rsidR="6AC0F7F9">
        <w:rPr/>
        <w:t>high;</w:t>
      </w:r>
      <w:r w:rsidR="6AC0F7F9">
        <w:rPr/>
        <w:t xml:space="preserve"> </w:t>
      </w:r>
      <w:r w:rsidR="6AC0F7F9">
        <w:rPr/>
        <w:t>nearby</w:t>
      </w:r>
      <w:r w:rsidR="6AC0F7F9">
        <w:rPr/>
        <w:t xml:space="preserve"> church tower </w:t>
      </w:r>
      <w:r w:rsidR="6AC0F7F9">
        <w:rPr/>
        <w:t>and trees</w:t>
      </w:r>
      <w:r w:rsidR="6AC0F7F9">
        <w:rPr/>
        <w:t xml:space="preserve"> are </w:t>
      </w:r>
      <w:r w:rsidR="6AC0F7F9">
        <w:rPr/>
        <w:t>higher. The building does not contain any dat</w:t>
      </w:r>
      <w:r w:rsidR="6AC0F7F9">
        <w:rPr/>
        <w:t>a</w:t>
      </w:r>
      <w:r w:rsidR="6AC0F7F9">
        <w:rPr/>
        <w:t xml:space="preserve"> critical apparatus or computers</w:t>
      </w:r>
      <w:r w:rsidR="6AC0F7F9">
        <w:rPr/>
        <w:t>.</w:t>
      </w:r>
    </w:p>
    <w:p w:rsidR="00B103A9" w:rsidP="007C1010" w:rsidRDefault="00B103A9" w14:paraId="29AAA4B8" w14:textId="77777777"/>
    <w:p w:rsidR="001B3623" w:rsidP="007C1010" w:rsidRDefault="00E10D7E" w14:paraId="1AAD749F" w14:textId="08825AF8">
      <w:pPr>
        <w:rPr>
          <w:b/>
          <w:bCs/>
        </w:rPr>
      </w:pPr>
      <w:r w:rsidRPr="00E10D7E">
        <w:rPr>
          <w:b/>
          <w:bCs/>
        </w:rPr>
        <w:t>Housekeeping</w:t>
      </w:r>
      <w:r>
        <w:rPr>
          <w:b/>
          <w:bCs/>
        </w:rPr>
        <w:t>:</w:t>
      </w:r>
    </w:p>
    <w:p w:rsidRPr="003E109D" w:rsidR="00E10D7E" w:rsidP="007C1010" w:rsidRDefault="00A06DF7" w14:paraId="714C2311" w14:textId="604985EB">
      <w:r w:rsidRPr="003E109D">
        <w:t xml:space="preserve">A contract cleaner visits at least 3 times a week, internal bins and rubbish is cleared. </w:t>
      </w:r>
    </w:p>
    <w:p w:rsidRPr="003E109D" w:rsidR="00DF6028" w:rsidP="007C1010" w:rsidRDefault="00DF6028" w14:paraId="65C8C83A" w14:textId="77777777"/>
    <w:p w:rsidR="00FE47A2" w:rsidP="007C1010" w:rsidRDefault="00DF6028" w14:paraId="53EF80A5" w14:textId="59355DF1">
      <w:r w:rsidR="6AC0F7F9">
        <w:rPr/>
        <w:t xml:space="preserve">The management committee are aware of the need </w:t>
      </w:r>
      <w:r w:rsidR="6AC0F7F9">
        <w:rPr/>
        <w:t xml:space="preserve">not to allow 'clutter' to accumulate. The Charity Manager </w:t>
      </w:r>
      <w:r w:rsidR="6AC0F7F9">
        <w:rPr/>
        <w:t xml:space="preserve">and </w:t>
      </w:r>
      <w:r w:rsidR="6AC0F7F9">
        <w:rPr/>
        <w:t>V</w:t>
      </w:r>
      <w:r w:rsidR="6AC0F7F9">
        <w:rPr/>
        <w:t xml:space="preserve">olunteer Caretaker </w:t>
      </w:r>
      <w:r w:rsidR="6AC0F7F9">
        <w:rPr/>
        <w:t>monitor</w:t>
      </w:r>
      <w:r w:rsidR="6AC0F7F9">
        <w:rPr/>
        <w:t xml:space="preserve"> the tidiness of the storage rooms</w:t>
      </w:r>
      <w:r w:rsidR="6AC0F7F9">
        <w:rPr/>
        <w:t>.</w:t>
      </w:r>
    </w:p>
    <w:p w:rsidR="00FE47A2" w:rsidP="007C1010" w:rsidRDefault="00FE47A2" w14:paraId="42F83F4C" w14:textId="77777777"/>
    <w:p w:rsidR="00DF6028" w:rsidP="007C1010" w:rsidRDefault="00C2719B" w14:paraId="0383DE0B" w14:textId="146B2E56">
      <w:r>
        <w:t>Rubbish</w:t>
      </w:r>
      <w:r w:rsidR="00FE47A2">
        <w:t xml:space="preserve"> from the building is held in a</w:t>
      </w:r>
      <w:r>
        <w:t>n</w:t>
      </w:r>
      <w:r w:rsidR="00FE47A2">
        <w:t xml:space="preserve"> outside </w:t>
      </w:r>
      <w:r>
        <w:t>lockable</w:t>
      </w:r>
      <w:r w:rsidR="00FE47A2">
        <w:t xml:space="preserve"> waste skip</w:t>
      </w:r>
      <w:r w:rsidR="005433DD">
        <w:t xml:space="preserve"> and c</w:t>
      </w:r>
      <w:r w:rsidR="007430EA">
        <w:t>leared f</w:t>
      </w:r>
      <w:r w:rsidR="00C421F7">
        <w:t>rom</w:t>
      </w:r>
      <w:r w:rsidR="007430EA">
        <w:t xml:space="preserve"> site weekly.</w:t>
      </w:r>
    </w:p>
    <w:p w:rsidR="007430EA" w:rsidP="007C1010" w:rsidRDefault="007430EA" w14:paraId="70293387" w14:textId="77777777"/>
    <w:p w:rsidR="00303157" w:rsidP="007C1010" w:rsidRDefault="00303157" w14:paraId="1A06F5EF" w14:textId="3DC9015B">
      <w:pPr>
        <w:rPr>
          <w:b/>
          <w:bCs/>
        </w:rPr>
      </w:pPr>
      <w:r w:rsidRPr="00303157">
        <w:rPr>
          <w:b/>
          <w:bCs/>
        </w:rPr>
        <w:t>Hazards</w:t>
      </w:r>
      <w:r w:rsidRPr="00303157" w:rsidR="00EF3567">
        <w:rPr>
          <w:b/>
          <w:bCs/>
        </w:rPr>
        <w:t xml:space="preserve"> introduced by </w:t>
      </w:r>
      <w:r w:rsidRPr="00303157">
        <w:rPr>
          <w:b/>
          <w:bCs/>
        </w:rPr>
        <w:t>c</w:t>
      </w:r>
      <w:r w:rsidRPr="00303157" w:rsidR="00F81166">
        <w:rPr>
          <w:b/>
          <w:bCs/>
        </w:rPr>
        <w:t>ontractors</w:t>
      </w:r>
      <w:r w:rsidR="00064C99">
        <w:rPr>
          <w:b/>
          <w:bCs/>
        </w:rPr>
        <w:t>:</w:t>
      </w:r>
    </w:p>
    <w:p w:rsidR="007430EA" w:rsidP="007C1010" w:rsidRDefault="0096546F" w14:paraId="6927C7E1" w14:textId="77B330BE">
      <w:r w:rsidR="6AC0F7F9">
        <w:rPr/>
        <w:t>Contractors</w:t>
      </w:r>
      <w:r w:rsidR="6AC0F7F9">
        <w:rPr/>
        <w:t xml:space="preserve"> and DIY </w:t>
      </w:r>
      <w:r w:rsidR="6AC0F7F9">
        <w:rPr/>
        <w:t>Volunte</w:t>
      </w:r>
      <w:r w:rsidR="6AC0F7F9">
        <w:rPr/>
        <w:t xml:space="preserve">ers are </w:t>
      </w:r>
      <w:r w:rsidR="6AC0F7F9">
        <w:rPr/>
        <w:t>engaged</w:t>
      </w:r>
      <w:r w:rsidR="6AC0F7F9">
        <w:rPr/>
        <w:t xml:space="preserve"> by the Charity Manager</w:t>
      </w:r>
      <w:r w:rsidR="6AC0F7F9">
        <w:rPr/>
        <w:t xml:space="preserve"> or </w:t>
      </w:r>
      <w:r w:rsidR="6AC0F7F9">
        <w:rPr/>
        <w:t>Trustee</w:t>
      </w:r>
      <w:r w:rsidR="6AC0F7F9">
        <w:rPr/>
        <w:t>s</w:t>
      </w:r>
      <w:r w:rsidR="6AC0F7F9">
        <w:rPr/>
        <w:t xml:space="preserve">. They are </w:t>
      </w:r>
      <w:r w:rsidR="6AC0F7F9">
        <w:rPr/>
        <w:t>instructed</w:t>
      </w:r>
      <w:r w:rsidR="6AC0F7F9">
        <w:rPr/>
        <w:t xml:space="preserve"> to co</w:t>
      </w:r>
      <w:r w:rsidR="6AC0F7F9">
        <w:rPr/>
        <w:t xml:space="preserve">mply with the </w:t>
      </w:r>
      <w:r w:rsidR="6AC0F7F9">
        <w:rPr/>
        <w:t>charity's</w:t>
      </w:r>
      <w:r w:rsidR="6AC0F7F9">
        <w:rPr/>
        <w:t xml:space="preserve"> Health and Safety Policy</w:t>
      </w:r>
      <w:r w:rsidR="6AC0F7F9">
        <w:rPr/>
        <w:t xml:space="preserve"> and must </w:t>
      </w:r>
      <w:r w:rsidR="6AC0F7F9">
        <w:rPr/>
        <w:t>carry out</w:t>
      </w:r>
      <w:r w:rsidR="6AC0F7F9">
        <w:rPr/>
        <w:t xml:space="preserve"> a risk assessment </w:t>
      </w:r>
      <w:r w:rsidR="6AC0F7F9">
        <w:rPr/>
        <w:t xml:space="preserve">and </w:t>
      </w:r>
      <w:r w:rsidR="6AC0F7F9">
        <w:rPr/>
        <w:t>obtain specific permission to carry out any hot work</w:t>
      </w:r>
      <w:r w:rsidR="6AC0F7F9">
        <w:rPr/>
        <w:t xml:space="preserve"> from the Charity </w:t>
      </w:r>
      <w:r w:rsidR="6AC0F7F9">
        <w:rPr/>
        <w:t>Manager</w:t>
      </w:r>
      <w:r w:rsidR="6AC0F7F9">
        <w:rPr/>
        <w:t xml:space="preserve">. </w:t>
      </w:r>
      <w:r w:rsidR="6AC0F7F9">
        <w:rPr/>
        <w:t xml:space="preserve"> </w:t>
      </w:r>
    </w:p>
    <w:p w:rsidR="00AD5D26" w:rsidP="007C1010" w:rsidRDefault="00AD5D26" w14:paraId="2F08BE67" w14:textId="77777777"/>
    <w:p w:rsidR="00AD5D26" w:rsidP="007C1010" w:rsidRDefault="00AD5D26" w14:paraId="47AA72F0" w14:textId="77269D5C">
      <w:pPr>
        <w:rPr>
          <w:b/>
          <w:bCs/>
        </w:rPr>
      </w:pPr>
      <w:r w:rsidRPr="00AD5D26">
        <w:rPr>
          <w:b/>
          <w:bCs/>
        </w:rPr>
        <w:t>Dangerous Substances</w:t>
      </w:r>
      <w:r>
        <w:rPr>
          <w:b/>
          <w:bCs/>
        </w:rPr>
        <w:t>:</w:t>
      </w:r>
    </w:p>
    <w:p w:rsidRPr="00906CB4" w:rsidR="000C4FBD" w:rsidP="000C4FBD" w:rsidRDefault="000C4FBD" w14:paraId="0B9D6571" w14:textId="3650A44F">
      <w:pPr>
        <w:pStyle w:val="Default"/>
        <w:rPr>
          <w:color w:val="auto"/>
        </w:rPr>
      </w:pPr>
      <w:r w:rsidRPr="00906CB4">
        <w:rPr>
          <w:color w:val="auto"/>
        </w:rPr>
        <w:t>Conditions of hire do not allow highly flammable or other dangerous substances into the building</w:t>
      </w:r>
      <w:r w:rsidR="001952CA">
        <w:rPr>
          <w:color w:val="auto"/>
        </w:rPr>
        <w:t xml:space="preserve">. </w:t>
      </w:r>
      <w:r w:rsidR="00503B52">
        <w:rPr>
          <w:color w:val="auto"/>
        </w:rPr>
        <w:t xml:space="preserve">The Charity's </w:t>
      </w:r>
      <w:r w:rsidR="00F44D19">
        <w:rPr>
          <w:color w:val="auto"/>
        </w:rPr>
        <w:t xml:space="preserve">H &amp; S </w:t>
      </w:r>
      <w:r w:rsidR="0051136C">
        <w:rPr>
          <w:color w:val="auto"/>
        </w:rPr>
        <w:t>S</w:t>
      </w:r>
      <w:r w:rsidR="00F44D19">
        <w:rPr>
          <w:color w:val="auto"/>
        </w:rPr>
        <w:t xml:space="preserve">afety Policy </w:t>
      </w:r>
      <w:r w:rsidR="0051136C">
        <w:rPr>
          <w:color w:val="auto"/>
        </w:rPr>
        <w:t xml:space="preserve">instructs </w:t>
      </w:r>
      <w:r w:rsidR="001952CA">
        <w:rPr>
          <w:color w:val="auto"/>
        </w:rPr>
        <w:t xml:space="preserve">Contractors </w:t>
      </w:r>
      <w:r w:rsidR="00741F96">
        <w:rPr>
          <w:color w:val="auto"/>
        </w:rPr>
        <w:t xml:space="preserve">and DIY Volunteers </w:t>
      </w:r>
      <w:r w:rsidR="0051136C">
        <w:rPr>
          <w:color w:val="auto"/>
        </w:rPr>
        <w:t>to</w:t>
      </w:r>
      <w:r w:rsidR="00741F96">
        <w:rPr>
          <w:color w:val="auto"/>
        </w:rPr>
        <w:t xml:space="preserve"> notify the Cahrity Manager if such products are </w:t>
      </w:r>
      <w:r w:rsidR="00503B52">
        <w:rPr>
          <w:color w:val="auto"/>
        </w:rPr>
        <w:t>needed</w:t>
      </w:r>
      <w:r w:rsidR="00741F96">
        <w:rPr>
          <w:color w:val="auto"/>
        </w:rPr>
        <w:t xml:space="preserve"> to assist with the task in hand. </w:t>
      </w:r>
    </w:p>
    <w:p w:rsidR="00AD5D26" w:rsidP="007C1010" w:rsidRDefault="00AD5D26" w14:paraId="1C977C6A" w14:textId="77777777"/>
    <w:p w:rsidR="00EB3BAC" w:rsidP="007C1010" w:rsidRDefault="00EB3BAC" w14:paraId="47F29B44" w14:textId="77777777">
      <w:pPr>
        <w:rPr>
          <w:b/>
          <w:bCs/>
        </w:rPr>
      </w:pPr>
    </w:p>
    <w:p w:rsidR="00EB3BAC" w:rsidP="007C1010" w:rsidRDefault="00EB3BAC" w14:paraId="1EC70593" w14:textId="77777777">
      <w:pPr>
        <w:rPr>
          <w:b/>
          <w:bCs/>
        </w:rPr>
      </w:pPr>
    </w:p>
    <w:p w:rsidR="00503B52" w:rsidP="007C1010" w:rsidRDefault="00AD5921" w14:paraId="28590B66" w14:textId="413B660E">
      <w:pPr>
        <w:rPr>
          <w:b/>
          <w:bCs/>
        </w:rPr>
      </w:pPr>
      <w:r w:rsidRPr="00387BCA">
        <w:rPr>
          <w:b/>
          <w:bCs/>
        </w:rPr>
        <w:t xml:space="preserve">Other </w:t>
      </w:r>
      <w:r w:rsidRPr="00387BCA" w:rsidR="00387BCA">
        <w:rPr>
          <w:b/>
          <w:bCs/>
        </w:rPr>
        <w:t>Significant Fire Hazard</w:t>
      </w:r>
      <w:r w:rsidR="00387BCA">
        <w:rPr>
          <w:b/>
          <w:bCs/>
        </w:rPr>
        <w:t>s:</w:t>
      </w:r>
    </w:p>
    <w:p w:rsidR="00EC507B" w:rsidP="007C1010" w:rsidRDefault="00FD5CB6" w14:paraId="75110AF9" w14:textId="689F245E">
      <w:pPr>
        <w:rPr>
          <w:b w:val="1"/>
          <w:bCs w:val="1"/>
        </w:rPr>
      </w:pPr>
      <w:r w:rsidR="6AC0F7F9">
        <w:rPr/>
        <w:t xml:space="preserve">The Terms and Conditions of Hire, </w:t>
      </w:r>
      <w:r w:rsidR="6AC0F7F9">
        <w:rPr/>
        <w:t>states</w:t>
      </w:r>
      <w:r w:rsidR="6AC0F7F9">
        <w:rPr/>
        <w:t xml:space="preserve"> no naked flames, candles or fireworks and</w:t>
      </w:r>
      <w:r w:rsidR="6AC0F7F9">
        <w:rPr/>
        <w:t xml:space="preserve"> they</w:t>
      </w:r>
      <w:r w:rsidR="6AC0F7F9">
        <w:rPr/>
        <w:t xml:space="preserve"> </w:t>
      </w:r>
      <w:r w:rsidR="6AC0F7F9">
        <w:rPr/>
        <w:t xml:space="preserve">prevent </w:t>
      </w:r>
      <w:r w:rsidR="6AC0F7F9">
        <w:rPr/>
        <w:t>hirers own</w:t>
      </w:r>
      <w:r w:rsidR="6AC0F7F9">
        <w:rPr/>
        <w:t xml:space="preserve"> heaters being brought into the building</w:t>
      </w:r>
      <w:r w:rsidRPr="6AC0F7F9" w:rsidR="6AC0F7F9">
        <w:rPr>
          <w:b w:val="1"/>
          <w:bCs w:val="1"/>
        </w:rPr>
        <w:t>.</w:t>
      </w:r>
    </w:p>
    <w:p w:rsidR="005F77DF" w:rsidP="007C1010" w:rsidRDefault="005F77DF" w14:paraId="6B26C971" w14:textId="77777777">
      <w:pPr>
        <w:rPr>
          <w:b/>
          <w:bCs/>
        </w:rPr>
      </w:pPr>
    </w:p>
    <w:p w:rsidR="005F77DF" w:rsidP="007C1010" w:rsidRDefault="005F77DF" w14:paraId="1DDF5AAD" w14:textId="6CF92430">
      <w:r w:rsidRPr="00A95164">
        <w:t xml:space="preserve">Appliance </w:t>
      </w:r>
      <w:r w:rsidRPr="00A95164" w:rsidR="00026C04">
        <w:t xml:space="preserve">electrical safety is </w:t>
      </w:r>
      <w:r w:rsidR="00024D7A">
        <w:t xml:space="preserve">covered by the Terms and </w:t>
      </w:r>
      <w:r w:rsidR="00116B6F">
        <w:t>Conditions of</w:t>
      </w:r>
      <w:r w:rsidR="00024D7A">
        <w:t xml:space="preserve"> Hire.</w:t>
      </w:r>
    </w:p>
    <w:p w:rsidR="00721D05" w:rsidP="0037167A" w:rsidRDefault="00721D05" w14:paraId="600F82CF" w14:textId="77777777">
      <w:pPr>
        <w:rPr>
          <w:b/>
          <w:bCs/>
        </w:rPr>
      </w:pPr>
    </w:p>
    <w:p w:rsidR="00024D7A" w:rsidP="0037167A" w:rsidRDefault="00116B6F" w14:paraId="5666F861" w14:textId="77B46EE7">
      <w:pPr>
        <w:rPr>
          <w:b/>
          <w:bCs/>
        </w:rPr>
      </w:pPr>
      <w:r w:rsidRPr="0037167A">
        <w:rPr>
          <w:b/>
          <w:bCs/>
        </w:rPr>
        <w:t>Fire Protection Measures:</w:t>
      </w:r>
    </w:p>
    <w:p w:rsidR="00434507" w:rsidP="0037167A" w:rsidRDefault="00F86B0F" w14:paraId="67B31B9C" w14:textId="1561E260">
      <w:r>
        <w:t xml:space="preserve">The premises has </w:t>
      </w:r>
      <w:r w:rsidR="007B7979">
        <w:t xml:space="preserve">clearly </w:t>
      </w:r>
      <w:r w:rsidR="00263C88">
        <w:t>identified f</w:t>
      </w:r>
      <w:r w:rsidRPr="0016703D" w:rsidR="0016703D">
        <w:t xml:space="preserve">ire evacuation routes </w:t>
      </w:r>
      <w:r w:rsidR="00263C88">
        <w:t>from all areas.</w:t>
      </w:r>
      <w:r w:rsidR="00324538">
        <w:t xml:space="preserve"> An assembly point is identified </w:t>
      </w:r>
      <w:r w:rsidR="00803EAD">
        <w:t>in</w:t>
      </w:r>
      <w:r w:rsidR="00324538">
        <w:t xml:space="preserve"> the car park area.</w:t>
      </w:r>
      <w:r w:rsidR="00263C88">
        <w:t xml:space="preserve"> </w:t>
      </w:r>
    </w:p>
    <w:p w:rsidR="00802C50" w:rsidP="0037167A" w:rsidRDefault="00802C50" w14:paraId="65D2092F" w14:textId="77777777"/>
    <w:p w:rsidR="006E5664" w:rsidP="0037167A" w:rsidRDefault="004D35BC" w14:paraId="3E5527AF" w14:textId="3820CFEE">
      <w:r w:rsidR="6AC0F7F9">
        <w:rPr/>
        <w:t>Internal doors a</w:t>
      </w:r>
      <w:r w:rsidR="6AC0F7F9">
        <w:rPr/>
        <w:t>re</w:t>
      </w:r>
      <w:r w:rsidR="6AC0F7F9">
        <w:rPr/>
        <w:t xml:space="preserve"> fire rated</w:t>
      </w:r>
      <w:r w:rsidR="6AC0F7F9">
        <w:rPr/>
        <w:t xml:space="preserve"> and </w:t>
      </w:r>
      <w:r w:rsidR="6AC0F7F9">
        <w:rPr/>
        <w:t>fitted</w:t>
      </w:r>
      <w:r w:rsidR="6AC0F7F9">
        <w:rPr/>
        <w:t xml:space="preserve"> with smoke </w:t>
      </w:r>
      <w:r w:rsidR="6AC0F7F9">
        <w:rPr/>
        <w:t>intumescent</w:t>
      </w:r>
      <w:r w:rsidR="6AC0F7F9">
        <w:rPr/>
        <w:t xml:space="preserve"> strip</w:t>
      </w:r>
      <w:r w:rsidR="6AC0F7F9">
        <w:rPr/>
        <w:t>s</w:t>
      </w:r>
      <w:r w:rsidR="6AC0F7F9">
        <w:rPr/>
        <w:t xml:space="preserve"> to seal door openings. </w:t>
      </w:r>
      <w:r w:rsidR="6AC0F7F9">
        <w:rPr/>
        <w:t xml:space="preserve">Intumescent strips slow down the spread of </w:t>
      </w:r>
      <w:r w:rsidR="6AC0F7F9">
        <w:rPr/>
        <w:t>fire through the building</w:t>
      </w:r>
      <w:r w:rsidR="6AC0F7F9">
        <w:rPr/>
        <w:t>.</w:t>
      </w:r>
    </w:p>
    <w:p w:rsidR="00130B94" w:rsidP="0037167A" w:rsidRDefault="00130B94" w14:paraId="02085478" w14:textId="77777777"/>
    <w:p w:rsidR="007D1055" w:rsidP="0037167A" w:rsidRDefault="005A613C" w14:paraId="731596F6" w14:textId="0500A0D8">
      <w:r>
        <w:t xml:space="preserve">Fire Door </w:t>
      </w:r>
      <w:r w:rsidR="008355BD">
        <w:t xml:space="preserve">Keep </w:t>
      </w:r>
      <w:r w:rsidR="00D8028E">
        <w:t>C</w:t>
      </w:r>
      <w:r w:rsidR="008355BD">
        <w:t xml:space="preserve">losed signs are posted at internal fire protection </w:t>
      </w:r>
      <w:r w:rsidR="00A30BC8">
        <w:t>doors. Hea</w:t>
      </w:r>
      <w:r w:rsidR="00A04237">
        <w:t>l</w:t>
      </w:r>
      <w:r w:rsidR="00A30BC8">
        <w:t>th and Safety Policy</w:t>
      </w:r>
      <w:r w:rsidR="00B66B75">
        <w:t xml:space="preserve"> </w:t>
      </w:r>
      <w:proofErr w:type="gramStart"/>
      <w:r w:rsidR="00B66B75">
        <w:t>states</w:t>
      </w:r>
      <w:proofErr w:type="gramEnd"/>
      <w:r w:rsidR="00A30BC8">
        <w:t xml:space="preserve"> that </w:t>
      </w:r>
      <w:r w:rsidR="00781E74">
        <w:t>fire</w:t>
      </w:r>
      <w:r w:rsidR="007D1055">
        <w:t xml:space="preserve"> doors</w:t>
      </w:r>
      <w:r w:rsidR="00A30BC8">
        <w:t xml:space="preserve"> should be </w:t>
      </w:r>
      <w:r w:rsidR="006659D8">
        <w:t xml:space="preserve">kept </w:t>
      </w:r>
      <w:r w:rsidR="00A30BC8">
        <w:t>closed</w:t>
      </w:r>
      <w:r w:rsidR="007D74AF">
        <w:t>, especially</w:t>
      </w:r>
      <w:r w:rsidR="00A30BC8">
        <w:t xml:space="preserve"> on e</w:t>
      </w:r>
      <w:r w:rsidR="00262703">
        <w:t>xiting in emergency.</w:t>
      </w:r>
    </w:p>
    <w:p w:rsidR="007D1055" w:rsidP="0037167A" w:rsidRDefault="007D1055" w14:paraId="1446B543" w14:textId="77777777"/>
    <w:p w:rsidR="00130B94" w:rsidP="0037167A" w:rsidRDefault="00346CD9" w14:paraId="6E7502EF" w14:textId="637B64FD">
      <w:r>
        <w:t xml:space="preserve">To slow down fire spread, </w:t>
      </w:r>
      <w:r w:rsidR="00500EB1">
        <w:t>t</w:t>
      </w:r>
      <w:r w:rsidR="007D1055">
        <w:t xml:space="preserve">he </w:t>
      </w:r>
      <w:r w:rsidR="00F00F0A">
        <w:t xml:space="preserve">building is designed to compartmentalise fire spread. </w:t>
      </w:r>
      <w:r w:rsidR="00262703">
        <w:t xml:space="preserve"> </w:t>
      </w:r>
      <w:r w:rsidR="008355BD">
        <w:t xml:space="preserve"> </w:t>
      </w:r>
    </w:p>
    <w:p w:rsidR="00802C50" w:rsidP="0037167A" w:rsidRDefault="00802C50" w14:paraId="4AD19A69" w14:textId="77777777"/>
    <w:p w:rsidR="00861410" w:rsidP="0037167A" w:rsidRDefault="00802C50" w14:paraId="429986FB" w14:textId="02FB7D40">
      <w:r>
        <w:t>Fire</w:t>
      </w:r>
      <w:r w:rsidR="00B4757F">
        <w:t xml:space="preserve"> exit</w:t>
      </w:r>
      <w:r>
        <w:t xml:space="preserve"> </w:t>
      </w:r>
      <w:r w:rsidR="00826142">
        <w:t xml:space="preserve">routes flow one way </w:t>
      </w:r>
      <w:r w:rsidR="00865D9F">
        <w:t xml:space="preserve">and </w:t>
      </w:r>
      <w:r w:rsidR="00E0061D">
        <w:t>lead</w:t>
      </w:r>
      <w:r>
        <w:t xml:space="preserve"> to the car park assembly </w:t>
      </w:r>
      <w:r w:rsidR="00E0061D">
        <w:t xml:space="preserve">point, lighting with </w:t>
      </w:r>
      <w:r w:rsidR="00861410">
        <w:t>emergency</w:t>
      </w:r>
      <w:r w:rsidR="00E0061D">
        <w:t xml:space="preserve"> power back</w:t>
      </w:r>
      <w:r w:rsidR="00FF0F03">
        <w:t>-u</w:t>
      </w:r>
      <w:r w:rsidR="005A613C">
        <w:t>p,</w:t>
      </w:r>
      <w:r w:rsidR="00FF0F03">
        <w:t xml:space="preserve"> </w:t>
      </w:r>
      <w:r w:rsidR="00E0061D">
        <w:t>illuminat</w:t>
      </w:r>
      <w:r w:rsidR="00861410">
        <w:t>es</w:t>
      </w:r>
      <w:r w:rsidR="00E0061D">
        <w:t xml:space="preserve"> the</w:t>
      </w:r>
      <w:r w:rsidR="00861410">
        <w:t xml:space="preserve"> evacuation route.</w:t>
      </w:r>
      <w:r w:rsidR="003B4C17">
        <w:t xml:space="preserve"> The fire </w:t>
      </w:r>
      <w:r w:rsidR="00D75697">
        <w:t xml:space="preserve">door </w:t>
      </w:r>
      <w:r w:rsidR="00DB4B0D">
        <w:t>positioning</w:t>
      </w:r>
      <w:r w:rsidR="00D75697">
        <w:t xml:space="preserve"> offer</w:t>
      </w:r>
      <w:r w:rsidR="00EB3BAC">
        <w:t>s</w:t>
      </w:r>
      <w:r w:rsidR="00D75697">
        <w:t xml:space="preserve"> alternative routes of </w:t>
      </w:r>
      <w:r w:rsidR="00A04237">
        <w:t>escape,</w:t>
      </w:r>
      <w:r w:rsidR="00AA4B99">
        <w:t xml:space="preserve"> and</w:t>
      </w:r>
      <w:r w:rsidR="006B7D40">
        <w:t xml:space="preserve"> the emergency doors</w:t>
      </w:r>
      <w:r w:rsidR="00AA4B99">
        <w:t xml:space="preserve"> open in the direction of travel.</w:t>
      </w:r>
    </w:p>
    <w:p w:rsidR="00406C20" w:rsidP="0037167A" w:rsidRDefault="00406C20" w14:paraId="42124D35" w14:textId="77777777"/>
    <w:p w:rsidR="00406C20" w:rsidP="0037167A" w:rsidRDefault="00406C20" w14:paraId="5CB2CD01" w14:textId="23EB399C">
      <w:r>
        <w:t xml:space="preserve">All </w:t>
      </w:r>
      <w:r w:rsidR="00F678A8">
        <w:t>emergency routes are via level surfaces, no</w:t>
      </w:r>
      <w:r w:rsidR="00766E41">
        <w:t xml:space="preserve"> steps or stairs. </w:t>
      </w:r>
    </w:p>
    <w:p w:rsidR="00861410" w:rsidP="0037167A" w:rsidRDefault="00861410" w14:paraId="17FDB7EA" w14:textId="77777777"/>
    <w:p w:rsidR="00802C50" w:rsidP="0037167A" w:rsidRDefault="00D2138B" w14:paraId="1926FB7E" w14:textId="05BF3A3D">
      <w:r>
        <w:t xml:space="preserve">Fire </w:t>
      </w:r>
      <w:r w:rsidR="008A13D4">
        <w:t>extinguishers</w:t>
      </w:r>
      <w:r w:rsidR="00F70EEE">
        <w:t xml:space="preserve"> are</w:t>
      </w:r>
      <w:r>
        <w:t xml:space="preserve"> </w:t>
      </w:r>
      <w:r w:rsidR="00A52D73">
        <w:t xml:space="preserve">situated throughout the </w:t>
      </w:r>
      <w:r w:rsidR="00EB6031">
        <w:t>building,</w:t>
      </w:r>
      <w:r w:rsidR="00A52D73">
        <w:t xml:space="preserve"> </w:t>
      </w:r>
      <w:r>
        <w:t xml:space="preserve">and a fire </w:t>
      </w:r>
      <w:r w:rsidR="00A52D73">
        <w:t>blanket is available in the kitchen area.</w:t>
      </w:r>
      <w:r w:rsidR="00765D14">
        <w:t xml:space="preserve"> Water, Foam and Co2 e</w:t>
      </w:r>
      <w:r w:rsidR="00E66452">
        <w:t xml:space="preserve">xtinguishers </w:t>
      </w:r>
      <w:r w:rsidR="00175AB3">
        <w:t>are appropriately</w:t>
      </w:r>
      <w:r w:rsidR="00E66452">
        <w:t xml:space="preserve"> placed</w:t>
      </w:r>
      <w:r w:rsidR="00175AB3">
        <w:t>.</w:t>
      </w:r>
    </w:p>
    <w:p w:rsidR="00A52D73" w:rsidP="0037167A" w:rsidRDefault="00A52D73" w14:paraId="649F4AE0" w14:textId="77777777"/>
    <w:p w:rsidR="00247636" w:rsidP="0037167A" w:rsidRDefault="005F199C" w14:paraId="180671BC" w14:textId="1DFB160F">
      <w:r>
        <w:t xml:space="preserve">A fire alarm system with call points </w:t>
      </w:r>
      <w:r w:rsidR="005A7E77">
        <w:t xml:space="preserve">and </w:t>
      </w:r>
      <w:r>
        <w:t>siren</w:t>
      </w:r>
      <w:r w:rsidR="00D178D3">
        <w:t xml:space="preserve">s with red </w:t>
      </w:r>
      <w:r w:rsidR="00140242">
        <w:t>flashing</w:t>
      </w:r>
      <w:r w:rsidR="00D178D3">
        <w:t xml:space="preserve"> indicators are </w:t>
      </w:r>
      <w:r w:rsidR="00140242">
        <w:t>placed</w:t>
      </w:r>
      <w:r w:rsidR="00D178D3">
        <w:t xml:space="preserve"> around the building, includ</w:t>
      </w:r>
      <w:r w:rsidR="006E5F75">
        <w:t>ing in</w:t>
      </w:r>
      <w:r w:rsidR="00D178D3">
        <w:t xml:space="preserve"> the </w:t>
      </w:r>
      <w:r w:rsidR="00140242">
        <w:t xml:space="preserve">external </w:t>
      </w:r>
      <w:r w:rsidR="00247636">
        <w:t>storeroom</w:t>
      </w:r>
      <w:r w:rsidR="00140242">
        <w:t xml:space="preserve"> and boiler room.</w:t>
      </w:r>
    </w:p>
    <w:p w:rsidR="00247636" w:rsidP="0037167A" w:rsidRDefault="00247636" w14:paraId="7AC0F542" w14:textId="77777777"/>
    <w:p w:rsidR="00A52D73" w:rsidP="0037167A" w:rsidRDefault="00247636" w14:paraId="30CEB9E9" w14:textId="2BEBF880">
      <w:r>
        <w:t xml:space="preserve">Evacuation </w:t>
      </w:r>
      <w:r w:rsidR="002A0777">
        <w:t xml:space="preserve">doors and fire routes </w:t>
      </w:r>
      <w:r w:rsidR="0067697E">
        <w:t>are</w:t>
      </w:r>
      <w:r w:rsidR="002A0777">
        <w:t xml:space="preserve"> clearly marked</w:t>
      </w:r>
      <w:r w:rsidR="0067697E">
        <w:t xml:space="preserve"> with illuminated Fire Exit signs.</w:t>
      </w:r>
      <w:r w:rsidR="00B11EE1">
        <w:t xml:space="preserve"> The </w:t>
      </w:r>
      <w:r w:rsidR="003E2BC9">
        <w:t>illuminat</w:t>
      </w:r>
      <w:r w:rsidR="00B572BE">
        <w:t>ed signs</w:t>
      </w:r>
      <w:r w:rsidR="003E2BC9">
        <w:t xml:space="preserve"> </w:t>
      </w:r>
      <w:r w:rsidR="00B11EE1">
        <w:t xml:space="preserve">have </w:t>
      </w:r>
      <w:r w:rsidR="00FF0F03">
        <w:t xml:space="preserve">emergency power back-up. </w:t>
      </w:r>
      <w:r w:rsidR="002A0777">
        <w:t xml:space="preserve"> </w:t>
      </w:r>
      <w:r w:rsidR="00140242">
        <w:t xml:space="preserve"> </w:t>
      </w:r>
    </w:p>
    <w:p w:rsidR="00C808C4" w:rsidP="0037167A" w:rsidRDefault="00C808C4" w14:paraId="383CB6A9" w14:textId="77777777"/>
    <w:p w:rsidR="00547478" w:rsidP="0037167A" w:rsidRDefault="00C808C4" w14:paraId="0A3DD950" w14:textId="59E0235E">
      <w:r>
        <w:t xml:space="preserve">Throughout the building </w:t>
      </w:r>
      <w:r w:rsidR="00701546">
        <w:t>strategically</w:t>
      </w:r>
      <w:r w:rsidR="00547478">
        <w:t xml:space="preserve"> placed emergency </w:t>
      </w:r>
      <w:r w:rsidR="00F57F23">
        <w:t>lighting</w:t>
      </w:r>
      <w:r w:rsidR="00547478">
        <w:t xml:space="preserve"> units are fitted with emergency back-up batteries.</w:t>
      </w:r>
    </w:p>
    <w:p w:rsidR="00F57F23" w:rsidP="0037167A" w:rsidRDefault="00F57F23" w14:paraId="4B26BD79" w14:textId="77777777"/>
    <w:p w:rsidR="00F57F23" w:rsidP="0037167A" w:rsidRDefault="00F57F23" w14:paraId="2E45B05D" w14:textId="6E00187B">
      <w:r>
        <w:t>In</w:t>
      </w:r>
      <w:r w:rsidR="00663E0E">
        <w:t xml:space="preserve"> c</w:t>
      </w:r>
      <w:r>
        <w:t>ase o</w:t>
      </w:r>
      <w:r w:rsidR="00663E0E">
        <w:t>f</w:t>
      </w:r>
      <w:r>
        <w:t xml:space="preserve"> fire</w:t>
      </w:r>
      <w:r w:rsidR="005309C9">
        <w:t xml:space="preserve"> </w:t>
      </w:r>
      <w:r w:rsidR="00F9303F">
        <w:t>instruction</w:t>
      </w:r>
      <w:r w:rsidR="005309C9">
        <w:t xml:space="preserve"> notice</w:t>
      </w:r>
      <w:r w:rsidR="004A1705">
        <w:t xml:space="preserve"> is </w:t>
      </w:r>
      <w:r w:rsidR="0040635C">
        <w:t>displayed</w:t>
      </w:r>
      <w:r w:rsidR="004A1705">
        <w:t xml:space="preserve"> on the main </w:t>
      </w:r>
      <w:r w:rsidR="0040635C">
        <w:t>vestibule</w:t>
      </w:r>
      <w:r w:rsidR="004A1705">
        <w:t xml:space="preserve"> Health and Safety noticeboard. </w:t>
      </w:r>
      <w:r>
        <w:t xml:space="preserve"> </w:t>
      </w:r>
    </w:p>
    <w:p w:rsidR="0040635C" w:rsidP="0037167A" w:rsidRDefault="0040635C" w14:paraId="33CF6F7C" w14:textId="77777777"/>
    <w:p w:rsidR="0040635C" w:rsidP="0037167A" w:rsidRDefault="00EF6BB5" w14:paraId="425A832C" w14:textId="06AA07A8">
      <w:r w:rsidR="6AC0F7F9">
        <w:rPr/>
        <w:t xml:space="preserve">Plans indicating evacuation routes </w:t>
      </w:r>
      <w:r w:rsidR="6AC0F7F9">
        <w:rPr/>
        <w:t>and</w:t>
      </w:r>
      <w:r w:rsidR="6AC0F7F9">
        <w:rPr/>
        <w:t xml:space="preserve"> fire </w:t>
      </w:r>
      <w:r w:rsidR="6AC0F7F9">
        <w:rPr/>
        <w:t xml:space="preserve">equipment are </w:t>
      </w:r>
      <w:r w:rsidR="6AC0F7F9">
        <w:rPr/>
        <w:t>displayed</w:t>
      </w:r>
      <w:r w:rsidR="6AC0F7F9">
        <w:rPr/>
        <w:t xml:space="preserve"> at the </w:t>
      </w:r>
      <w:r w:rsidR="6AC0F7F9">
        <w:rPr/>
        <w:t xml:space="preserve">buildings’ two entrances. </w:t>
      </w:r>
      <w:r w:rsidR="6AC0F7F9">
        <w:rPr/>
        <w:t xml:space="preserve"> </w:t>
      </w:r>
    </w:p>
    <w:p w:rsidR="00C808C4" w:rsidP="0037167A" w:rsidRDefault="00C808C4" w14:paraId="672C68A6" w14:textId="26B85FBF">
      <w:r>
        <w:t xml:space="preserve"> </w:t>
      </w:r>
    </w:p>
    <w:p w:rsidR="00375FE8" w:rsidP="0037167A" w:rsidRDefault="00375FE8" w14:paraId="17FFE273" w14:textId="77777777">
      <w:pPr>
        <w:rPr>
          <w:b/>
          <w:bCs/>
        </w:rPr>
      </w:pPr>
    </w:p>
    <w:p w:rsidR="00375FE8" w:rsidP="0037167A" w:rsidRDefault="00375FE8" w14:paraId="49FE6893" w14:textId="77777777">
      <w:pPr>
        <w:rPr>
          <w:b/>
          <w:bCs/>
        </w:rPr>
      </w:pPr>
    </w:p>
    <w:p w:rsidR="00DE1505" w:rsidP="0037167A" w:rsidRDefault="005373F9" w14:paraId="17621BFA" w14:textId="3FFE9CF4">
      <w:pPr>
        <w:rPr>
          <w:b/>
          <w:bCs/>
        </w:rPr>
      </w:pPr>
      <w:r>
        <w:rPr>
          <w:b/>
          <w:bCs/>
        </w:rPr>
        <w:t>Management</w:t>
      </w:r>
      <w:r w:rsidR="00F00F0A">
        <w:rPr>
          <w:b/>
          <w:bCs/>
        </w:rPr>
        <w:t xml:space="preserve"> of Fire </w:t>
      </w:r>
      <w:r w:rsidR="00E571CB">
        <w:rPr>
          <w:b/>
          <w:bCs/>
        </w:rPr>
        <w:t>Safety:</w:t>
      </w:r>
    </w:p>
    <w:p w:rsidRPr="001363C9" w:rsidR="00B52C1D" w:rsidP="0037167A" w:rsidRDefault="00B52C1D" w14:paraId="2D549F99" w14:textId="13CA6606">
      <w:r w:rsidRPr="00E3634C">
        <w:t xml:space="preserve">The Management Committee </w:t>
      </w:r>
      <w:r w:rsidRPr="00E3634C" w:rsidR="00811917">
        <w:t xml:space="preserve">is responsible for ensuring fire safety </w:t>
      </w:r>
      <w:r w:rsidR="00E3634C">
        <w:t>is being</w:t>
      </w:r>
      <w:r w:rsidRPr="00E3634C" w:rsidR="00811917">
        <w:t xml:space="preserve"> assessed</w:t>
      </w:r>
      <w:r w:rsidR="001363C9">
        <w:rPr>
          <w:b/>
          <w:bCs/>
        </w:rPr>
        <w:t xml:space="preserve"> </w:t>
      </w:r>
      <w:r w:rsidRPr="001363C9" w:rsidR="001363C9">
        <w:t>regularly.</w:t>
      </w:r>
    </w:p>
    <w:p w:rsidRPr="001363C9" w:rsidR="00811917" w:rsidP="0037167A" w:rsidRDefault="00811917" w14:paraId="34F64299" w14:textId="77777777"/>
    <w:p w:rsidR="00DE1505" w:rsidP="0037167A" w:rsidRDefault="00064C99" w14:paraId="5C69F6F4" w14:textId="342B0D1D">
      <w:r>
        <w:t xml:space="preserve">The premises </w:t>
      </w:r>
      <w:r w:rsidRPr="0075173A" w:rsidR="001F3667">
        <w:t xml:space="preserve">Hire </w:t>
      </w:r>
      <w:r w:rsidRPr="0075173A" w:rsidR="00E572A1">
        <w:t>T</w:t>
      </w:r>
      <w:r w:rsidRPr="0075173A" w:rsidR="001F3667">
        <w:t xml:space="preserve">erms and Conditions </w:t>
      </w:r>
      <w:r w:rsidRPr="0075173A" w:rsidR="00E572A1">
        <w:t xml:space="preserve">and a </w:t>
      </w:r>
      <w:r w:rsidRPr="0075173A" w:rsidR="0075173A">
        <w:t>Health</w:t>
      </w:r>
      <w:r w:rsidRPr="0075173A" w:rsidR="00E572A1">
        <w:t xml:space="preserve"> &amp; </w:t>
      </w:r>
      <w:r w:rsidRPr="0075173A" w:rsidR="0075173A">
        <w:t>Safety</w:t>
      </w:r>
      <w:r w:rsidRPr="0075173A" w:rsidR="00E572A1">
        <w:t xml:space="preserve"> </w:t>
      </w:r>
      <w:r w:rsidRPr="0075173A" w:rsidR="0075173A">
        <w:t>Police</w:t>
      </w:r>
      <w:r w:rsidRPr="0075173A" w:rsidR="00E572A1">
        <w:t xml:space="preserve"> </w:t>
      </w:r>
      <w:r w:rsidRPr="0075173A" w:rsidR="001F3667">
        <w:t xml:space="preserve">are in </w:t>
      </w:r>
      <w:proofErr w:type="gramStart"/>
      <w:r w:rsidRPr="0075173A" w:rsidR="001F3667">
        <w:t>place,</w:t>
      </w:r>
      <w:proofErr w:type="gramEnd"/>
      <w:r w:rsidRPr="0075173A" w:rsidR="001F3667">
        <w:t xml:space="preserve"> </w:t>
      </w:r>
      <w:r w:rsidR="0075173A">
        <w:t xml:space="preserve">these </w:t>
      </w:r>
      <w:r w:rsidR="00E571CB">
        <w:t>documents</w:t>
      </w:r>
      <w:r w:rsidR="0075173A">
        <w:t xml:space="preserve"> identify the </w:t>
      </w:r>
      <w:r w:rsidR="00E571CB">
        <w:t>requirement</w:t>
      </w:r>
      <w:r w:rsidR="0075173A">
        <w:t xml:space="preserve"> for Risk Assessment and Responsible persons to be </w:t>
      </w:r>
      <w:r w:rsidR="00E571CB">
        <w:t xml:space="preserve">appointed for every hire session. </w:t>
      </w:r>
    </w:p>
    <w:p w:rsidR="0086781F" w:rsidP="0037167A" w:rsidRDefault="0086781F" w14:paraId="2A41C32B" w14:textId="77777777"/>
    <w:p w:rsidR="0086781F" w:rsidP="0037167A" w:rsidRDefault="004C0142" w14:paraId="017DACDA" w14:textId="1A225D88">
      <w:r>
        <w:t xml:space="preserve">The </w:t>
      </w:r>
      <w:r w:rsidR="00A31502">
        <w:t xml:space="preserve">Charity </w:t>
      </w:r>
      <w:r w:rsidR="001E18C7">
        <w:t>M</w:t>
      </w:r>
      <w:r w:rsidR="00A31502">
        <w:t>an</w:t>
      </w:r>
      <w:r w:rsidR="00D27AAF">
        <w:t>a</w:t>
      </w:r>
      <w:r w:rsidR="00A31502">
        <w:t xml:space="preserve">ger </w:t>
      </w:r>
      <w:r w:rsidR="001E18C7">
        <w:t xml:space="preserve">is responsible for </w:t>
      </w:r>
      <w:r w:rsidR="009B752E">
        <w:t xml:space="preserve">ensuring documented </w:t>
      </w:r>
      <w:r w:rsidR="00A048EB">
        <w:t>eviden</w:t>
      </w:r>
      <w:r w:rsidR="001A21B3">
        <w:t>ce</w:t>
      </w:r>
      <w:r w:rsidR="00A048EB">
        <w:t xml:space="preserve"> of the following </w:t>
      </w:r>
      <w:r w:rsidR="001A21B3">
        <w:t xml:space="preserve">regular </w:t>
      </w:r>
      <w:r w:rsidR="00A048EB">
        <w:t>inspections</w:t>
      </w:r>
      <w:r w:rsidR="001A21B3">
        <w:t>:</w:t>
      </w:r>
      <w:r w:rsidR="00A048EB">
        <w:t xml:space="preserve"> </w:t>
      </w:r>
      <w:r w:rsidR="009B752E">
        <w:t xml:space="preserve"> </w:t>
      </w:r>
    </w:p>
    <w:p w:rsidR="006D0B55" w:rsidP="002F0212" w:rsidRDefault="006D0B55" w14:paraId="1A7159D5" w14:textId="11AFBD5B">
      <w:r>
        <w:tab/>
      </w:r>
      <w:r>
        <w:tab/>
      </w:r>
      <w:r>
        <w:t>Evacuation Route</w:t>
      </w:r>
      <w:r w:rsidR="009E0C7C">
        <w:t>s</w:t>
      </w:r>
    </w:p>
    <w:p w:rsidR="009E0C7C" w:rsidP="002F0212" w:rsidRDefault="00CA67AE" w14:paraId="4BCA50A4" w14:textId="011D7AE5">
      <w:r>
        <w:tab/>
      </w:r>
      <w:r>
        <w:tab/>
      </w:r>
      <w:r>
        <w:t>Emergency Exit Doors</w:t>
      </w:r>
    </w:p>
    <w:p w:rsidR="00246E0B" w:rsidP="002F0212" w:rsidRDefault="00246E0B" w14:paraId="1FA3902D" w14:textId="405AD345">
      <w:r>
        <w:tab/>
      </w:r>
      <w:r>
        <w:tab/>
      </w:r>
      <w:r>
        <w:t>Evacuation Plan</w:t>
      </w:r>
      <w:r w:rsidR="00862177">
        <w:t xml:space="preserve"> and Routes </w:t>
      </w:r>
      <w:r w:rsidR="00310009">
        <w:t xml:space="preserve">(identified and </w:t>
      </w:r>
      <w:r w:rsidR="00A307DB">
        <w:t xml:space="preserve">clear of obstruction or </w:t>
      </w:r>
      <w:r w:rsidR="003F1AF6">
        <w:tab/>
      </w:r>
      <w:r w:rsidR="003F1AF6">
        <w:tab/>
      </w:r>
      <w:r w:rsidR="003F1AF6">
        <w:tab/>
      </w:r>
      <w:r w:rsidR="009948F1">
        <w:t>hazards</w:t>
      </w:r>
      <w:r w:rsidR="00A307DB">
        <w:t>)</w:t>
      </w:r>
    </w:p>
    <w:p w:rsidR="003714A9" w:rsidP="002F0212" w:rsidRDefault="003714A9" w14:paraId="30A83B95" w14:textId="6798DC84">
      <w:r>
        <w:tab/>
      </w:r>
      <w:r>
        <w:tab/>
      </w:r>
      <w:r>
        <w:t>Fire Doors</w:t>
      </w:r>
    </w:p>
    <w:p w:rsidR="00246E0B" w:rsidP="002F0212" w:rsidRDefault="00246E0B" w14:paraId="46A15887" w14:textId="2933332C">
      <w:r>
        <w:tab/>
      </w:r>
      <w:r>
        <w:tab/>
      </w:r>
      <w:r>
        <w:t xml:space="preserve">Fire </w:t>
      </w:r>
      <w:r w:rsidR="00720043">
        <w:t xml:space="preserve">Extinguishers &amp; Fire Blanket </w:t>
      </w:r>
    </w:p>
    <w:p w:rsidR="00720043" w:rsidP="002F0212" w:rsidRDefault="00720043" w14:paraId="621FE359" w14:textId="01E041C0">
      <w:r>
        <w:tab/>
      </w:r>
      <w:r>
        <w:tab/>
      </w:r>
      <w:r>
        <w:t>Fire Alarm System</w:t>
      </w:r>
      <w:r w:rsidR="008A194A">
        <w:t xml:space="preserve"> (call points and illuminated sirens)</w:t>
      </w:r>
    </w:p>
    <w:p w:rsidR="00AE690D" w:rsidP="002F0212" w:rsidRDefault="003714A9" w14:paraId="789A10EB" w14:textId="275AD5B2">
      <w:r>
        <w:tab/>
      </w:r>
      <w:r>
        <w:tab/>
      </w:r>
      <w:r>
        <w:t xml:space="preserve">Emergency Lighting </w:t>
      </w:r>
      <w:r w:rsidR="00266B2B">
        <w:t>(Including exit signs)</w:t>
      </w:r>
      <w:r w:rsidR="007038F8">
        <w:t xml:space="preserve"> </w:t>
      </w:r>
      <w:r w:rsidR="00AE690D">
        <w:tab/>
      </w:r>
      <w:r w:rsidR="00AE690D">
        <w:tab/>
      </w:r>
      <w:r w:rsidR="00AE690D">
        <w:tab/>
      </w:r>
      <w:r w:rsidR="00AE690D">
        <w:tab/>
      </w:r>
      <w:r w:rsidR="00AE690D">
        <w:tab/>
      </w:r>
      <w:r w:rsidR="00AE690D">
        <w:tab/>
      </w:r>
      <w:r w:rsidR="007F4FE0">
        <w:t xml:space="preserve">In Case of </w:t>
      </w:r>
      <w:r w:rsidR="00AE690D">
        <w:t xml:space="preserve">Fire </w:t>
      </w:r>
      <w:r w:rsidR="00CB5567">
        <w:t xml:space="preserve">Notice </w:t>
      </w:r>
      <w:r w:rsidR="00F70EEE">
        <w:t xml:space="preserve">displayed </w:t>
      </w:r>
    </w:p>
    <w:p w:rsidR="003714A9" w:rsidP="002F0212" w:rsidRDefault="00AE690D" w14:paraId="17BD4C71" w14:textId="36E3B22F">
      <w:r>
        <w:t xml:space="preserve"> </w:t>
      </w:r>
      <w:r w:rsidR="00176537">
        <w:tab/>
      </w:r>
      <w:r w:rsidR="00176537">
        <w:tab/>
      </w:r>
      <w:r w:rsidR="005B4C73">
        <w:t xml:space="preserve">Location of </w:t>
      </w:r>
      <w:r w:rsidR="00176537">
        <w:t>Fire Assembly Point Notice</w:t>
      </w:r>
      <w:r w:rsidR="00131731">
        <w:t xml:space="preserve"> (car park)</w:t>
      </w:r>
    </w:p>
    <w:p w:rsidR="00176537" w:rsidP="002F0212" w:rsidRDefault="00176537" w14:paraId="274E06E0" w14:textId="63B7F81B">
      <w:r>
        <w:tab/>
      </w:r>
      <w:r>
        <w:tab/>
      </w:r>
      <w:r>
        <w:t xml:space="preserve">No </w:t>
      </w:r>
      <w:r w:rsidR="005B4C73">
        <w:t>Smoking</w:t>
      </w:r>
      <w:r>
        <w:t xml:space="preserve"> Notices </w:t>
      </w:r>
      <w:r w:rsidR="005B4C73">
        <w:t xml:space="preserve">X </w:t>
      </w:r>
      <w:r w:rsidR="009948F1">
        <w:t>2</w:t>
      </w:r>
      <w:r w:rsidR="009958BD">
        <w:t xml:space="preserve"> (front entrance doors)</w:t>
      </w:r>
    </w:p>
    <w:p w:rsidR="009948F1" w:rsidP="002F0212" w:rsidRDefault="009948F1" w14:paraId="2217CB1B" w14:textId="1857B4E7">
      <w:r>
        <w:tab/>
      </w:r>
      <w:r>
        <w:tab/>
      </w:r>
      <w:r w:rsidR="00BE7B4D">
        <w:t>Evacuation Plan and Fire Equipment Plan Notice X 2</w:t>
      </w:r>
      <w:r w:rsidR="00E30CB8">
        <w:t xml:space="preserve"> </w:t>
      </w:r>
      <w:r w:rsidR="00E30CB8">
        <w:tab/>
      </w:r>
      <w:r w:rsidR="00E30CB8">
        <w:tab/>
      </w:r>
      <w:r w:rsidR="00E30CB8">
        <w:tab/>
      </w:r>
      <w:r w:rsidR="00E30CB8">
        <w:tab/>
      </w:r>
      <w:r w:rsidR="00E30CB8">
        <w:tab/>
      </w:r>
      <w:r w:rsidR="00E30CB8">
        <w:t>(front entrance doors)</w:t>
      </w:r>
    </w:p>
    <w:p w:rsidR="00B20C91" w:rsidP="002F0212" w:rsidRDefault="00FE10ED" w14:paraId="7D962395" w14:textId="2CB5A1F0">
      <w:r>
        <w:tab/>
      </w:r>
      <w:r>
        <w:tab/>
      </w:r>
    </w:p>
    <w:p w:rsidR="00FE10ED" w:rsidP="002F0212" w:rsidRDefault="00FE10ED" w14:paraId="0A3D0BC1" w14:textId="6C1AEF9C">
      <w:r>
        <w:tab/>
      </w:r>
      <w:r>
        <w:tab/>
      </w:r>
      <w:r>
        <w:t xml:space="preserve">Six monthly Fire Evacuation </w:t>
      </w:r>
      <w:r w:rsidR="00C7700C">
        <w:t>exercise.</w:t>
      </w:r>
    </w:p>
    <w:p w:rsidR="000E7197" w:rsidP="0037167A" w:rsidRDefault="000E7197" w14:paraId="67CBA411" w14:textId="77777777"/>
    <w:p w:rsidR="00720043" w:rsidP="0037167A" w:rsidRDefault="003F1AF6" w14:paraId="75081E3F" w14:textId="7680EF77">
      <w:r>
        <w:tab/>
      </w:r>
      <w:r>
        <w:tab/>
      </w:r>
      <w:r w:rsidR="00BD13A0">
        <w:t>Annually a</w:t>
      </w:r>
      <w:r w:rsidR="0029600F">
        <w:t xml:space="preserve"> s</w:t>
      </w:r>
      <w:r w:rsidR="00EC1603">
        <w:t xml:space="preserve">pecialist contactor is employed to carry out an annual </w:t>
      </w:r>
      <w:r w:rsidR="00BD13A0">
        <w:tab/>
      </w:r>
      <w:r w:rsidR="00BD13A0">
        <w:tab/>
      </w:r>
      <w:r w:rsidR="00BD13A0">
        <w:tab/>
      </w:r>
      <w:r w:rsidR="000E7197">
        <w:t>inspection</w:t>
      </w:r>
      <w:r w:rsidR="0029600F">
        <w:t xml:space="preserve"> and test</w:t>
      </w:r>
      <w:r w:rsidR="00EC1603">
        <w:t xml:space="preserve"> of the fire equipment and </w:t>
      </w:r>
      <w:r w:rsidR="00A87C68">
        <w:t xml:space="preserve">fire </w:t>
      </w:r>
      <w:r w:rsidR="00BE264C">
        <w:t>alarm</w:t>
      </w:r>
      <w:r w:rsidR="00A87C68">
        <w:t xml:space="preserve"> </w:t>
      </w:r>
      <w:r w:rsidR="00EC1603">
        <w:t>sys</w:t>
      </w:r>
      <w:r w:rsidR="000E7197">
        <w:t>tem</w:t>
      </w:r>
      <w:r w:rsidR="00B42C23">
        <w:t>.</w:t>
      </w:r>
      <w:r w:rsidR="00FE4F39">
        <w:tab/>
      </w:r>
      <w:r w:rsidR="00FE4F39">
        <w:tab/>
      </w:r>
      <w:r w:rsidR="00FE4F39">
        <w:tab/>
      </w:r>
      <w:r w:rsidR="00FE4F39">
        <w:tab/>
      </w:r>
    </w:p>
    <w:p w:rsidR="0059219F" w:rsidP="0037167A" w:rsidRDefault="0059219F" w14:paraId="29356CAC" w14:textId="3420382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1559"/>
        <w:gridCol w:w="1984"/>
        <w:gridCol w:w="1984"/>
      </w:tblGrid>
      <w:tr w:rsidRPr="0059219F" w:rsidR="0059219F" w:rsidTr="00261F83" w14:paraId="4D7F8D90" w14:textId="77777777">
        <w:tc>
          <w:tcPr>
            <w:tcW w:w="2122" w:type="dxa"/>
          </w:tcPr>
          <w:p w:rsidRPr="0059219F" w:rsidR="0059219F" w:rsidP="0059219F" w:rsidRDefault="0059219F" w14:paraId="0196C89F" w14:textId="77777777">
            <w:pPr>
              <w:rPr>
                <w:b/>
                <w:bCs/>
              </w:rPr>
            </w:pPr>
            <w:r w:rsidRPr="0059219F">
              <w:rPr>
                <w:b/>
                <w:bCs/>
              </w:rPr>
              <w:t>Annual or change</w:t>
            </w:r>
          </w:p>
        </w:tc>
        <w:tc>
          <w:tcPr>
            <w:tcW w:w="1559" w:type="dxa"/>
          </w:tcPr>
          <w:p w:rsidRPr="0059219F" w:rsidR="0059219F" w:rsidP="0059219F" w:rsidRDefault="0059219F" w14:paraId="109B2FD7" w14:textId="77777777">
            <w:pPr>
              <w:jc w:val="center"/>
              <w:rPr>
                <w:b/>
                <w:bCs/>
              </w:rPr>
            </w:pPr>
            <w:r w:rsidRPr="0059219F">
              <w:rPr>
                <w:b/>
                <w:bCs/>
              </w:rPr>
              <w:t>Date</w:t>
            </w:r>
          </w:p>
        </w:tc>
        <w:tc>
          <w:tcPr>
            <w:tcW w:w="1984" w:type="dxa"/>
          </w:tcPr>
          <w:p w:rsidRPr="0059219F" w:rsidR="0059219F" w:rsidP="0059219F" w:rsidRDefault="0059219F" w14:paraId="2C8707CD" w14:textId="77777777">
            <w:pPr>
              <w:jc w:val="center"/>
              <w:rPr>
                <w:b/>
                <w:bCs/>
              </w:rPr>
            </w:pPr>
            <w:r w:rsidRPr="0059219F">
              <w:rPr>
                <w:b/>
                <w:bCs/>
              </w:rPr>
              <w:t>Name</w:t>
            </w:r>
          </w:p>
        </w:tc>
        <w:tc>
          <w:tcPr>
            <w:tcW w:w="1984" w:type="dxa"/>
          </w:tcPr>
          <w:p w:rsidRPr="0059219F" w:rsidR="0059219F" w:rsidP="0059219F" w:rsidRDefault="0059219F" w14:paraId="53430765" w14:textId="77777777">
            <w:pPr>
              <w:jc w:val="center"/>
              <w:rPr>
                <w:b/>
                <w:bCs/>
              </w:rPr>
            </w:pPr>
            <w:r w:rsidRPr="0059219F">
              <w:rPr>
                <w:b/>
                <w:bCs/>
              </w:rPr>
              <w:t xml:space="preserve">Position </w:t>
            </w:r>
          </w:p>
        </w:tc>
      </w:tr>
      <w:tr w:rsidRPr="0059219F" w:rsidR="0059219F" w:rsidTr="00261F83" w14:paraId="2B3BEC32" w14:textId="77777777">
        <w:trPr>
          <w:trHeight w:val="313"/>
        </w:trPr>
        <w:tc>
          <w:tcPr>
            <w:tcW w:w="2122" w:type="dxa"/>
          </w:tcPr>
          <w:p w:rsidRPr="0059219F" w:rsidR="0059219F" w:rsidP="0059219F" w:rsidRDefault="0059219F" w14:paraId="3166A3A2" w14:textId="77777777">
            <w:pPr>
              <w:jc w:val="center"/>
            </w:pPr>
            <w:r w:rsidRPr="0059219F">
              <w:t>Annual</w:t>
            </w:r>
          </w:p>
        </w:tc>
        <w:tc>
          <w:tcPr>
            <w:tcW w:w="1559" w:type="dxa"/>
          </w:tcPr>
          <w:p w:rsidRPr="0059219F" w:rsidR="0059219F" w:rsidP="0059219F" w:rsidRDefault="0059219F" w14:paraId="49A03AEB" w14:textId="77777777">
            <w:pPr>
              <w:jc w:val="center"/>
            </w:pPr>
            <w:r w:rsidRPr="0059219F">
              <w:t>30/04/25</w:t>
            </w:r>
          </w:p>
        </w:tc>
        <w:tc>
          <w:tcPr>
            <w:tcW w:w="1984" w:type="dxa"/>
          </w:tcPr>
          <w:p w:rsidRPr="0059219F" w:rsidR="0059219F" w:rsidP="0059219F" w:rsidRDefault="0059219F" w14:paraId="230124A3" w14:textId="77777777">
            <w:pPr>
              <w:jc w:val="center"/>
            </w:pPr>
            <w:r w:rsidRPr="0059219F">
              <w:t>G Round</w:t>
            </w:r>
          </w:p>
        </w:tc>
        <w:tc>
          <w:tcPr>
            <w:tcW w:w="1984" w:type="dxa"/>
          </w:tcPr>
          <w:p w:rsidRPr="0059219F" w:rsidR="0059219F" w:rsidP="0059219F" w:rsidRDefault="0059219F" w14:paraId="7DE73DD4" w14:textId="77777777">
            <w:pPr>
              <w:jc w:val="center"/>
            </w:pPr>
            <w:r w:rsidRPr="0059219F">
              <w:t>Trustee</w:t>
            </w:r>
          </w:p>
        </w:tc>
      </w:tr>
      <w:tr w:rsidRPr="0059219F" w:rsidR="0059219F" w:rsidTr="00261F83" w14:paraId="660F905F" w14:textId="77777777">
        <w:tc>
          <w:tcPr>
            <w:tcW w:w="2122" w:type="dxa"/>
          </w:tcPr>
          <w:p w:rsidRPr="0059219F" w:rsidR="0059219F" w:rsidP="0059219F" w:rsidRDefault="0059219F" w14:paraId="34E10F82" w14:textId="77777777">
            <w:pPr>
              <w:jc w:val="center"/>
              <w:rPr>
                <w:b/>
                <w:bCs/>
              </w:rPr>
            </w:pPr>
          </w:p>
        </w:tc>
        <w:tc>
          <w:tcPr>
            <w:tcW w:w="1559" w:type="dxa"/>
          </w:tcPr>
          <w:p w:rsidRPr="0059219F" w:rsidR="0059219F" w:rsidP="0059219F" w:rsidRDefault="0059219F" w14:paraId="391CC3CC" w14:textId="77777777">
            <w:pPr>
              <w:jc w:val="center"/>
              <w:rPr>
                <w:b/>
                <w:bCs/>
              </w:rPr>
            </w:pPr>
          </w:p>
        </w:tc>
        <w:tc>
          <w:tcPr>
            <w:tcW w:w="1984" w:type="dxa"/>
          </w:tcPr>
          <w:p w:rsidRPr="0059219F" w:rsidR="0059219F" w:rsidP="0059219F" w:rsidRDefault="0059219F" w14:paraId="1F902D39" w14:textId="77777777">
            <w:pPr>
              <w:jc w:val="center"/>
              <w:rPr>
                <w:b/>
                <w:bCs/>
              </w:rPr>
            </w:pPr>
          </w:p>
        </w:tc>
        <w:tc>
          <w:tcPr>
            <w:tcW w:w="1984" w:type="dxa"/>
          </w:tcPr>
          <w:p w:rsidRPr="0059219F" w:rsidR="0059219F" w:rsidP="0059219F" w:rsidRDefault="0059219F" w14:paraId="79239B73" w14:textId="77777777">
            <w:pPr>
              <w:jc w:val="center"/>
              <w:rPr>
                <w:b/>
                <w:bCs/>
              </w:rPr>
            </w:pPr>
          </w:p>
        </w:tc>
      </w:tr>
      <w:tr w:rsidRPr="0059219F" w:rsidR="0059219F" w:rsidTr="00261F83" w14:paraId="355A6FCA" w14:textId="77777777">
        <w:tc>
          <w:tcPr>
            <w:tcW w:w="2122" w:type="dxa"/>
          </w:tcPr>
          <w:p w:rsidRPr="0059219F" w:rsidR="0059219F" w:rsidP="0059219F" w:rsidRDefault="0059219F" w14:paraId="7E22879E" w14:textId="77777777">
            <w:pPr>
              <w:jc w:val="center"/>
              <w:rPr>
                <w:b/>
                <w:bCs/>
              </w:rPr>
            </w:pPr>
          </w:p>
        </w:tc>
        <w:tc>
          <w:tcPr>
            <w:tcW w:w="1559" w:type="dxa"/>
          </w:tcPr>
          <w:p w:rsidRPr="0059219F" w:rsidR="0059219F" w:rsidP="0059219F" w:rsidRDefault="0059219F" w14:paraId="0DB9A2F3" w14:textId="77777777">
            <w:pPr>
              <w:jc w:val="center"/>
              <w:rPr>
                <w:b/>
                <w:bCs/>
              </w:rPr>
            </w:pPr>
          </w:p>
        </w:tc>
        <w:tc>
          <w:tcPr>
            <w:tcW w:w="1984" w:type="dxa"/>
          </w:tcPr>
          <w:p w:rsidRPr="0059219F" w:rsidR="0059219F" w:rsidP="0059219F" w:rsidRDefault="0059219F" w14:paraId="25AD0325" w14:textId="77777777">
            <w:pPr>
              <w:jc w:val="center"/>
              <w:rPr>
                <w:b/>
                <w:bCs/>
              </w:rPr>
            </w:pPr>
          </w:p>
        </w:tc>
        <w:tc>
          <w:tcPr>
            <w:tcW w:w="1984" w:type="dxa"/>
          </w:tcPr>
          <w:p w:rsidRPr="0059219F" w:rsidR="0059219F" w:rsidP="0059219F" w:rsidRDefault="0059219F" w14:paraId="795E6520" w14:textId="77777777">
            <w:pPr>
              <w:jc w:val="center"/>
              <w:rPr>
                <w:b/>
                <w:bCs/>
              </w:rPr>
            </w:pPr>
          </w:p>
        </w:tc>
      </w:tr>
      <w:tr w:rsidRPr="0059219F" w:rsidR="0059219F" w:rsidTr="00261F83" w14:paraId="330492EB" w14:textId="77777777">
        <w:tc>
          <w:tcPr>
            <w:tcW w:w="2122" w:type="dxa"/>
          </w:tcPr>
          <w:p w:rsidRPr="0059219F" w:rsidR="0059219F" w:rsidP="0059219F" w:rsidRDefault="0059219F" w14:paraId="697F7943" w14:textId="77777777">
            <w:pPr>
              <w:jc w:val="center"/>
              <w:rPr>
                <w:b/>
                <w:bCs/>
              </w:rPr>
            </w:pPr>
          </w:p>
        </w:tc>
        <w:tc>
          <w:tcPr>
            <w:tcW w:w="1559" w:type="dxa"/>
          </w:tcPr>
          <w:p w:rsidRPr="0059219F" w:rsidR="0059219F" w:rsidP="0059219F" w:rsidRDefault="0059219F" w14:paraId="5A5BFA39" w14:textId="77777777">
            <w:pPr>
              <w:jc w:val="center"/>
              <w:rPr>
                <w:b/>
                <w:bCs/>
              </w:rPr>
            </w:pPr>
          </w:p>
        </w:tc>
        <w:tc>
          <w:tcPr>
            <w:tcW w:w="1984" w:type="dxa"/>
          </w:tcPr>
          <w:p w:rsidRPr="0059219F" w:rsidR="0059219F" w:rsidP="0059219F" w:rsidRDefault="0059219F" w14:paraId="159B325A" w14:textId="77777777">
            <w:pPr>
              <w:jc w:val="center"/>
              <w:rPr>
                <w:b/>
                <w:bCs/>
              </w:rPr>
            </w:pPr>
          </w:p>
        </w:tc>
        <w:tc>
          <w:tcPr>
            <w:tcW w:w="1984" w:type="dxa"/>
          </w:tcPr>
          <w:p w:rsidRPr="0059219F" w:rsidR="0059219F" w:rsidP="0059219F" w:rsidRDefault="0059219F" w14:paraId="7DE771C5" w14:textId="77777777">
            <w:pPr>
              <w:jc w:val="center"/>
              <w:rPr>
                <w:b/>
                <w:bCs/>
              </w:rPr>
            </w:pPr>
          </w:p>
        </w:tc>
      </w:tr>
      <w:tr w:rsidRPr="0059219F" w:rsidR="0059219F" w:rsidTr="00261F83" w14:paraId="52B6BE6F" w14:textId="77777777">
        <w:tc>
          <w:tcPr>
            <w:tcW w:w="2122" w:type="dxa"/>
          </w:tcPr>
          <w:p w:rsidRPr="0059219F" w:rsidR="0059219F" w:rsidP="0059219F" w:rsidRDefault="0059219F" w14:paraId="5185210E" w14:textId="77777777">
            <w:pPr>
              <w:jc w:val="center"/>
              <w:rPr>
                <w:b/>
                <w:bCs/>
              </w:rPr>
            </w:pPr>
          </w:p>
        </w:tc>
        <w:tc>
          <w:tcPr>
            <w:tcW w:w="1559" w:type="dxa"/>
          </w:tcPr>
          <w:p w:rsidRPr="0059219F" w:rsidR="0059219F" w:rsidP="0059219F" w:rsidRDefault="0059219F" w14:paraId="7B51EE33" w14:textId="77777777">
            <w:pPr>
              <w:jc w:val="center"/>
              <w:rPr>
                <w:b/>
                <w:bCs/>
              </w:rPr>
            </w:pPr>
          </w:p>
        </w:tc>
        <w:tc>
          <w:tcPr>
            <w:tcW w:w="1984" w:type="dxa"/>
          </w:tcPr>
          <w:p w:rsidRPr="0059219F" w:rsidR="0059219F" w:rsidP="0059219F" w:rsidRDefault="0059219F" w14:paraId="112C0BBF" w14:textId="77777777">
            <w:pPr>
              <w:jc w:val="center"/>
              <w:rPr>
                <w:b/>
                <w:bCs/>
              </w:rPr>
            </w:pPr>
          </w:p>
        </w:tc>
        <w:tc>
          <w:tcPr>
            <w:tcW w:w="1984" w:type="dxa"/>
          </w:tcPr>
          <w:p w:rsidRPr="0059219F" w:rsidR="0059219F" w:rsidP="0059219F" w:rsidRDefault="0059219F" w14:paraId="61CB638B" w14:textId="77777777">
            <w:pPr>
              <w:jc w:val="center"/>
              <w:rPr>
                <w:b/>
                <w:bCs/>
              </w:rPr>
            </w:pPr>
          </w:p>
        </w:tc>
      </w:tr>
      <w:tr w:rsidRPr="0059219F" w:rsidR="0059219F" w:rsidTr="00261F83" w14:paraId="06269B27" w14:textId="77777777">
        <w:tc>
          <w:tcPr>
            <w:tcW w:w="2122" w:type="dxa"/>
          </w:tcPr>
          <w:p w:rsidRPr="0059219F" w:rsidR="0059219F" w:rsidP="0059219F" w:rsidRDefault="0059219F" w14:paraId="47B49A97" w14:textId="77777777">
            <w:pPr>
              <w:jc w:val="center"/>
              <w:rPr>
                <w:b/>
                <w:bCs/>
              </w:rPr>
            </w:pPr>
          </w:p>
        </w:tc>
        <w:tc>
          <w:tcPr>
            <w:tcW w:w="1559" w:type="dxa"/>
          </w:tcPr>
          <w:p w:rsidRPr="0059219F" w:rsidR="0059219F" w:rsidP="0059219F" w:rsidRDefault="0059219F" w14:paraId="769B6CC4" w14:textId="77777777">
            <w:pPr>
              <w:jc w:val="center"/>
              <w:rPr>
                <w:b/>
                <w:bCs/>
              </w:rPr>
            </w:pPr>
          </w:p>
        </w:tc>
        <w:tc>
          <w:tcPr>
            <w:tcW w:w="1984" w:type="dxa"/>
          </w:tcPr>
          <w:p w:rsidRPr="0059219F" w:rsidR="0059219F" w:rsidP="0059219F" w:rsidRDefault="0059219F" w14:paraId="43A89A35" w14:textId="77777777">
            <w:pPr>
              <w:jc w:val="center"/>
              <w:rPr>
                <w:b/>
                <w:bCs/>
              </w:rPr>
            </w:pPr>
          </w:p>
        </w:tc>
        <w:tc>
          <w:tcPr>
            <w:tcW w:w="1984" w:type="dxa"/>
          </w:tcPr>
          <w:p w:rsidRPr="0059219F" w:rsidR="0059219F" w:rsidP="0059219F" w:rsidRDefault="0059219F" w14:paraId="3630B899" w14:textId="77777777">
            <w:pPr>
              <w:jc w:val="center"/>
              <w:rPr>
                <w:b/>
                <w:bCs/>
              </w:rPr>
            </w:pPr>
          </w:p>
        </w:tc>
      </w:tr>
      <w:tr w:rsidRPr="0059219F" w:rsidR="0059219F" w:rsidTr="00261F83" w14:paraId="14D3F653" w14:textId="77777777">
        <w:tc>
          <w:tcPr>
            <w:tcW w:w="2122" w:type="dxa"/>
          </w:tcPr>
          <w:p w:rsidRPr="0059219F" w:rsidR="0059219F" w:rsidP="0059219F" w:rsidRDefault="0059219F" w14:paraId="121AEB48" w14:textId="77777777">
            <w:pPr>
              <w:jc w:val="center"/>
              <w:rPr>
                <w:b/>
                <w:bCs/>
              </w:rPr>
            </w:pPr>
          </w:p>
        </w:tc>
        <w:tc>
          <w:tcPr>
            <w:tcW w:w="1559" w:type="dxa"/>
          </w:tcPr>
          <w:p w:rsidRPr="0059219F" w:rsidR="0059219F" w:rsidP="0059219F" w:rsidRDefault="0059219F" w14:paraId="2DC0E0E8" w14:textId="77777777">
            <w:pPr>
              <w:jc w:val="center"/>
              <w:rPr>
                <w:b/>
                <w:bCs/>
              </w:rPr>
            </w:pPr>
          </w:p>
        </w:tc>
        <w:tc>
          <w:tcPr>
            <w:tcW w:w="1984" w:type="dxa"/>
          </w:tcPr>
          <w:p w:rsidRPr="0059219F" w:rsidR="0059219F" w:rsidP="0059219F" w:rsidRDefault="0059219F" w14:paraId="5B80DD27" w14:textId="77777777">
            <w:pPr>
              <w:jc w:val="center"/>
              <w:rPr>
                <w:b/>
                <w:bCs/>
              </w:rPr>
            </w:pPr>
          </w:p>
        </w:tc>
        <w:tc>
          <w:tcPr>
            <w:tcW w:w="1984" w:type="dxa"/>
          </w:tcPr>
          <w:p w:rsidRPr="0059219F" w:rsidR="0059219F" w:rsidP="0059219F" w:rsidRDefault="0059219F" w14:paraId="79B0F5D5" w14:textId="77777777">
            <w:pPr>
              <w:jc w:val="center"/>
              <w:rPr>
                <w:b/>
                <w:bCs/>
              </w:rPr>
            </w:pPr>
          </w:p>
        </w:tc>
      </w:tr>
    </w:tbl>
    <w:p w:rsidR="001B3623" w:rsidP="007C1010" w:rsidRDefault="001B3623" w14:paraId="7086B156" w14:textId="213987D0"/>
    <w:p w:rsidR="005F146D" w:rsidP="007C1010" w:rsidRDefault="005F146D" w14:paraId="7C4E63A3" w14:textId="77777777"/>
    <w:p w:rsidR="005F146D" w:rsidP="007C1010" w:rsidRDefault="005F146D" w14:paraId="58D44DA8" w14:textId="77777777"/>
    <w:p w:rsidR="00495A37" w:rsidP="007C1010" w:rsidRDefault="00495A37" w14:paraId="1FCFE084" w14:textId="77777777"/>
    <w:p w:rsidR="00495A37" w:rsidP="007C1010" w:rsidRDefault="00495A37" w14:paraId="5E801191" w14:textId="77777777"/>
    <w:p w:rsidR="002873C8" w:rsidP="007C1010" w:rsidRDefault="002873C8" w14:paraId="14B8C4EB" w14:textId="77777777"/>
    <w:p w:rsidR="00CF2FEF" w:rsidP="007C1010" w:rsidRDefault="00E83D96" w14:paraId="4BC8AD5D" w14:textId="41B3405B">
      <w:r>
        <w:t xml:space="preserve"> </w:t>
      </w:r>
    </w:p>
    <w:p w:rsidR="00047237" w:rsidP="007C1010" w:rsidRDefault="00047237" w14:paraId="0951AD41" w14:textId="77777777"/>
    <w:p w:rsidR="00150676" w:rsidP="007C1010" w:rsidRDefault="00150676" w14:paraId="4D9E42DD" w14:textId="553D219A"/>
    <w:sectPr w:rsidR="00150676" w:rsidSect="000C27C3">
      <w:headerReference w:type="default" r:id="rId7"/>
      <w:footerReference w:type="default" r:id="rId8"/>
      <w:pgSz w:w="11906" w:h="16838" w:orient="portrait"/>
      <w:pgMar w:top="1440" w:right="1440" w:bottom="1440" w:left="1440" w:header="708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55458" w:rsidP="007C1010" w:rsidRDefault="00F55458" w14:paraId="4454E611" w14:textId="77777777">
      <w:pPr>
        <w:spacing w:line="240" w:lineRule="auto"/>
      </w:pPr>
      <w:r>
        <w:separator/>
      </w:r>
    </w:p>
  </w:endnote>
  <w:endnote w:type="continuationSeparator" w:id="0">
    <w:p w:rsidR="00F55458" w:rsidP="007C1010" w:rsidRDefault="00F55458" w14:paraId="25434605" w14:textId="7777777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75FE8" w:rsidRDefault="00205D98" w14:paraId="7181B5D2" w14:textId="3061F72A">
    <w:pPr>
      <w:pStyle w:val="Footer"/>
    </w:pPr>
    <w:r>
      <w:tab/>
    </w:r>
    <w:r>
      <w:tab/>
    </w:r>
    <w:r w:rsidR="000C27C3">
      <w:t xml:space="preserve">Page </w:t>
    </w:r>
    <w:r w:rsidR="000C27C3">
      <w:fldChar w:fldCharType="begin"/>
    </w:r>
    <w:r w:rsidR="000C27C3">
      <w:instrText xml:space="preserve"> PAGE   \* MERGEFORMAT </w:instrText>
    </w:r>
    <w:r w:rsidR="000C27C3">
      <w:fldChar w:fldCharType="separate"/>
    </w:r>
    <w:r w:rsidR="000C27C3">
      <w:rPr>
        <w:noProof/>
      </w:rPr>
      <w:t>1</w:t>
    </w:r>
    <w:r w:rsidR="000C27C3">
      <w:rPr>
        <w:noProof/>
      </w:rPr>
      <w:fldChar w:fldCharType="end"/>
    </w:r>
    <w:r w:rsidR="000C27C3">
      <w:rPr>
        <w:noProof/>
      </w:rPr>
      <w:t xml:space="preserve"> of 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55458" w:rsidP="007C1010" w:rsidRDefault="00F55458" w14:paraId="78F5D353" w14:textId="77777777">
      <w:pPr>
        <w:spacing w:line="240" w:lineRule="auto"/>
      </w:pPr>
      <w:r>
        <w:separator/>
      </w:r>
    </w:p>
  </w:footnote>
  <w:footnote w:type="continuationSeparator" w:id="0">
    <w:p w:rsidR="00F55458" w:rsidP="007C1010" w:rsidRDefault="00F55458" w14:paraId="1A4F2C00" w14:textId="7777777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7C1010" w:rsidR="007C1010" w:rsidP="007C1010" w:rsidRDefault="007C1010" w14:paraId="78E1279B" w14:textId="2C930DB0">
    <w:pPr>
      <w:pStyle w:val="Header"/>
      <w:jc w:val="center"/>
      <w:rPr>
        <w:b/>
        <w:bCs/>
        <w:sz w:val="28"/>
        <w:szCs w:val="28"/>
      </w:rPr>
    </w:pPr>
    <w:r w:rsidRPr="007C1010">
      <w:rPr>
        <w:b/>
        <w:bCs/>
        <w:sz w:val="28"/>
        <w:szCs w:val="28"/>
      </w:rPr>
      <w:t>Acton Playing Fields and Village Hall</w:t>
    </w:r>
    <w:r>
      <w:rPr>
        <w:b/>
        <w:bCs/>
        <w:sz w:val="28"/>
        <w:szCs w:val="28"/>
      </w:rPr>
      <w:t xml:space="preserve"> (APFVH)</w:t>
    </w:r>
  </w:p>
</w:hdr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1AD1"/>
    <w:rsid w:val="00017D74"/>
    <w:rsid w:val="00024D7A"/>
    <w:rsid w:val="00026C04"/>
    <w:rsid w:val="000437C4"/>
    <w:rsid w:val="00047237"/>
    <w:rsid w:val="00052F28"/>
    <w:rsid w:val="00060B8C"/>
    <w:rsid w:val="00063937"/>
    <w:rsid w:val="00064C99"/>
    <w:rsid w:val="00070A7E"/>
    <w:rsid w:val="0007538D"/>
    <w:rsid w:val="00080AF6"/>
    <w:rsid w:val="00083928"/>
    <w:rsid w:val="00095C8B"/>
    <w:rsid w:val="000B5A97"/>
    <w:rsid w:val="000C27C3"/>
    <w:rsid w:val="000C4FBD"/>
    <w:rsid w:val="000E7197"/>
    <w:rsid w:val="00101096"/>
    <w:rsid w:val="001022CD"/>
    <w:rsid w:val="00106DF7"/>
    <w:rsid w:val="00116B6F"/>
    <w:rsid w:val="001173E4"/>
    <w:rsid w:val="00130B94"/>
    <w:rsid w:val="00131731"/>
    <w:rsid w:val="00132DD1"/>
    <w:rsid w:val="0013450E"/>
    <w:rsid w:val="001363C9"/>
    <w:rsid w:val="00140242"/>
    <w:rsid w:val="0014220E"/>
    <w:rsid w:val="00150676"/>
    <w:rsid w:val="0015648B"/>
    <w:rsid w:val="0016703D"/>
    <w:rsid w:val="00175AB3"/>
    <w:rsid w:val="00176537"/>
    <w:rsid w:val="0019325A"/>
    <w:rsid w:val="001952CA"/>
    <w:rsid w:val="001A21B3"/>
    <w:rsid w:val="001B3418"/>
    <w:rsid w:val="001B3623"/>
    <w:rsid w:val="001C733B"/>
    <w:rsid w:val="001D1E0C"/>
    <w:rsid w:val="001E18C7"/>
    <w:rsid w:val="001E6A8A"/>
    <w:rsid w:val="001F3667"/>
    <w:rsid w:val="00200318"/>
    <w:rsid w:val="00201DD2"/>
    <w:rsid w:val="00205D98"/>
    <w:rsid w:val="00215D30"/>
    <w:rsid w:val="00216747"/>
    <w:rsid w:val="002208D1"/>
    <w:rsid w:val="00230305"/>
    <w:rsid w:val="0024096F"/>
    <w:rsid w:val="00246E0B"/>
    <w:rsid w:val="00247636"/>
    <w:rsid w:val="00253BA4"/>
    <w:rsid w:val="00261579"/>
    <w:rsid w:val="00261AD1"/>
    <w:rsid w:val="00262393"/>
    <w:rsid w:val="00262703"/>
    <w:rsid w:val="00263C88"/>
    <w:rsid w:val="00266B2B"/>
    <w:rsid w:val="002873C8"/>
    <w:rsid w:val="00287C5A"/>
    <w:rsid w:val="002901F2"/>
    <w:rsid w:val="0029600F"/>
    <w:rsid w:val="002A0777"/>
    <w:rsid w:val="002A37E8"/>
    <w:rsid w:val="002B0757"/>
    <w:rsid w:val="002B0F30"/>
    <w:rsid w:val="002C353C"/>
    <w:rsid w:val="002F0212"/>
    <w:rsid w:val="002F1BEE"/>
    <w:rsid w:val="00303157"/>
    <w:rsid w:val="00310009"/>
    <w:rsid w:val="0031140C"/>
    <w:rsid w:val="00324538"/>
    <w:rsid w:val="003315EB"/>
    <w:rsid w:val="00333E52"/>
    <w:rsid w:val="00341853"/>
    <w:rsid w:val="00346CD9"/>
    <w:rsid w:val="003640A4"/>
    <w:rsid w:val="00365AFB"/>
    <w:rsid w:val="00365C85"/>
    <w:rsid w:val="003714A9"/>
    <w:rsid w:val="0037167A"/>
    <w:rsid w:val="003719D3"/>
    <w:rsid w:val="0037468A"/>
    <w:rsid w:val="00375FE8"/>
    <w:rsid w:val="00387BCA"/>
    <w:rsid w:val="003A256F"/>
    <w:rsid w:val="003A264C"/>
    <w:rsid w:val="003B4C17"/>
    <w:rsid w:val="003B539C"/>
    <w:rsid w:val="003E109D"/>
    <w:rsid w:val="003E2838"/>
    <w:rsid w:val="003E2BC9"/>
    <w:rsid w:val="003E2D5B"/>
    <w:rsid w:val="003E51DF"/>
    <w:rsid w:val="003E64F9"/>
    <w:rsid w:val="003F1AF6"/>
    <w:rsid w:val="0040635C"/>
    <w:rsid w:val="00406C20"/>
    <w:rsid w:val="0040736C"/>
    <w:rsid w:val="00410CAF"/>
    <w:rsid w:val="00420989"/>
    <w:rsid w:val="00424C52"/>
    <w:rsid w:val="00425204"/>
    <w:rsid w:val="00430237"/>
    <w:rsid w:val="00434507"/>
    <w:rsid w:val="0045127E"/>
    <w:rsid w:val="00457358"/>
    <w:rsid w:val="00462EB9"/>
    <w:rsid w:val="00495A37"/>
    <w:rsid w:val="004A0DC3"/>
    <w:rsid w:val="004A1705"/>
    <w:rsid w:val="004C0142"/>
    <w:rsid w:val="004C3E37"/>
    <w:rsid w:val="004C6748"/>
    <w:rsid w:val="004C7EF3"/>
    <w:rsid w:val="004D35BC"/>
    <w:rsid w:val="004D4DDB"/>
    <w:rsid w:val="004F7576"/>
    <w:rsid w:val="00500EB1"/>
    <w:rsid w:val="00503B52"/>
    <w:rsid w:val="00506C2A"/>
    <w:rsid w:val="0051136C"/>
    <w:rsid w:val="0051610F"/>
    <w:rsid w:val="00524EAF"/>
    <w:rsid w:val="005309C9"/>
    <w:rsid w:val="00534F1A"/>
    <w:rsid w:val="005373F9"/>
    <w:rsid w:val="00542B10"/>
    <w:rsid w:val="005433DD"/>
    <w:rsid w:val="00547478"/>
    <w:rsid w:val="005530BC"/>
    <w:rsid w:val="0056049B"/>
    <w:rsid w:val="0056552F"/>
    <w:rsid w:val="00574DAF"/>
    <w:rsid w:val="00586C57"/>
    <w:rsid w:val="0059219F"/>
    <w:rsid w:val="005A000A"/>
    <w:rsid w:val="005A613C"/>
    <w:rsid w:val="005A7E77"/>
    <w:rsid w:val="005B1E4E"/>
    <w:rsid w:val="005B3EC1"/>
    <w:rsid w:val="005B4163"/>
    <w:rsid w:val="005B4C73"/>
    <w:rsid w:val="005B7E5B"/>
    <w:rsid w:val="005D44C3"/>
    <w:rsid w:val="005D703D"/>
    <w:rsid w:val="005E56EB"/>
    <w:rsid w:val="005F0C2E"/>
    <w:rsid w:val="005F146D"/>
    <w:rsid w:val="005F199C"/>
    <w:rsid w:val="005F77DF"/>
    <w:rsid w:val="00604C25"/>
    <w:rsid w:val="00612DFB"/>
    <w:rsid w:val="00613EA9"/>
    <w:rsid w:val="00632D3E"/>
    <w:rsid w:val="006367D4"/>
    <w:rsid w:val="00640FFD"/>
    <w:rsid w:val="0064308A"/>
    <w:rsid w:val="00652885"/>
    <w:rsid w:val="0066273A"/>
    <w:rsid w:val="00663E0E"/>
    <w:rsid w:val="006659D8"/>
    <w:rsid w:val="00666581"/>
    <w:rsid w:val="0067697E"/>
    <w:rsid w:val="006814FB"/>
    <w:rsid w:val="00682241"/>
    <w:rsid w:val="00696E85"/>
    <w:rsid w:val="006B0D5F"/>
    <w:rsid w:val="006B3B26"/>
    <w:rsid w:val="006B5B06"/>
    <w:rsid w:val="006B60FE"/>
    <w:rsid w:val="006B7D40"/>
    <w:rsid w:val="006D0B55"/>
    <w:rsid w:val="006E116C"/>
    <w:rsid w:val="006E3460"/>
    <w:rsid w:val="006E5664"/>
    <w:rsid w:val="006E5F75"/>
    <w:rsid w:val="006F1B0F"/>
    <w:rsid w:val="00701546"/>
    <w:rsid w:val="007020B1"/>
    <w:rsid w:val="00702970"/>
    <w:rsid w:val="007038F8"/>
    <w:rsid w:val="00720043"/>
    <w:rsid w:val="007208AA"/>
    <w:rsid w:val="00721D05"/>
    <w:rsid w:val="00724FC3"/>
    <w:rsid w:val="007264A4"/>
    <w:rsid w:val="00734FC8"/>
    <w:rsid w:val="00741F96"/>
    <w:rsid w:val="007430EA"/>
    <w:rsid w:val="00746425"/>
    <w:rsid w:val="0075173A"/>
    <w:rsid w:val="00752DE8"/>
    <w:rsid w:val="0076492C"/>
    <w:rsid w:val="00764F8C"/>
    <w:rsid w:val="00765D14"/>
    <w:rsid w:val="00766E41"/>
    <w:rsid w:val="00781E74"/>
    <w:rsid w:val="007829F5"/>
    <w:rsid w:val="00794D11"/>
    <w:rsid w:val="007A0E1C"/>
    <w:rsid w:val="007B1071"/>
    <w:rsid w:val="007B413D"/>
    <w:rsid w:val="007B7979"/>
    <w:rsid w:val="007C0BC2"/>
    <w:rsid w:val="007C1010"/>
    <w:rsid w:val="007C4EC4"/>
    <w:rsid w:val="007D1055"/>
    <w:rsid w:val="007D5601"/>
    <w:rsid w:val="007D74AF"/>
    <w:rsid w:val="007F4FE0"/>
    <w:rsid w:val="00802C50"/>
    <w:rsid w:val="00803EAD"/>
    <w:rsid w:val="00805BFF"/>
    <w:rsid w:val="00811081"/>
    <w:rsid w:val="00811917"/>
    <w:rsid w:val="00826142"/>
    <w:rsid w:val="008355BD"/>
    <w:rsid w:val="00842B71"/>
    <w:rsid w:val="0084629B"/>
    <w:rsid w:val="00861410"/>
    <w:rsid w:val="00862177"/>
    <w:rsid w:val="00862AF7"/>
    <w:rsid w:val="00865D9F"/>
    <w:rsid w:val="0086781F"/>
    <w:rsid w:val="008A13D4"/>
    <w:rsid w:val="008A194A"/>
    <w:rsid w:val="008A7D8F"/>
    <w:rsid w:val="008D0B4F"/>
    <w:rsid w:val="008D5E5B"/>
    <w:rsid w:val="008D6A33"/>
    <w:rsid w:val="00905C56"/>
    <w:rsid w:val="009064F5"/>
    <w:rsid w:val="00906CB4"/>
    <w:rsid w:val="00916869"/>
    <w:rsid w:val="00922A1E"/>
    <w:rsid w:val="0095209E"/>
    <w:rsid w:val="009535CA"/>
    <w:rsid w:val="0096546F"/>
    <w:rsid w:val="009718CC"/>
    <w:rsid w:val="00991818"/>
    <w:rsid w:val="009948F1"/>
    <w:rsid w:val="009958BD"/>
    <w:rsid w:val="00995F35"/>
    <w:rsid w:val="009B2659"/>
    <w:rsid w:val="009B5B55"/>
    <w:rsid w:val="009B752E"/>
    <w:rsid w:val="009C727C"/>
    <w:rsid w:val="009E0C7C"/>
    <w:rsid w:val="00A04237"/>
    <w:rsid w:val="00A048EB"/>
    <w:rsid w:val="00A06DF7"/>
    <w:rsid w:val="00A17F97"/>
    <w:rsid w:val="00A20BED"/>
    <w:rsid w:val="00A2156B"/>
    <w:rsid w:val="00A307DB"/>
    <w:rsid w:val="00A30BC8"/>
    <w:rsid w:val="00A31502"/>
    <w:rsid w:val="00A41860"/>
    <w:rsid w:val="00A52D73"/>
    <w:rsid w:val="00A6531F"/>
    <w:rsid w:val="00A8225A"/>
    <w:rsid w:val="00A8666C"/>
    <w:rsid w:val="00A87C68"/>
    <w:rsid w:val="00A95164"/>
    <w:rsid w:val="00A95944"/>
    <w:rsid w:val="00AA4B99"/>
    <w:rsid w:val="00AB3A3C"/>
    <w:rsid w:val="00AB600F"/>
    <w:rsid w:val="00AD3C26"/>
    <w:rsid w:val="00AD5921"/>
    <w:rsid w:val="00AD5D26"/>
    <w:rsid w:val="00AE4D61"/>
    <w:rsid w:val="00AE690D"/>
    <w:rsid w:val="00AF3438"/>
    <w:rsid w:val="00AF530B"/>
    <w:rsid w:val="00B04DCF"/>
    <w:rsid w:val="00B103A9"/>
    <w:rsid w:val="00B11EE1"/>
    <w:rsid w:val="00B16625"/>
    <w:rsid w:val="00B1794D"/>
    <w:rsid w:val="00B20C91"/>
    <w:rsid w:val="00B3240B"/>
    <w:rsid w:val="00B35598"/>
    <w:rsid w:val="00B42C23"/>
    <w:rsid w:val="00B4757F"/>
    <w:rsid w:val="00B52C1D"/>
    <w:rsid w:val="00B572BE"/>
    <w:rsid w:val="00B66B75"/>
    <w:rsid w:val="00B71B6E"/>
    <w:rsid w:val="00B72367"/>
    <w:rsid w:val="00B91C30"/>
    <w:rsid w:val="00BA07A0"/>
    <w:rsid w:val="00BB25B2"/>
    <w:rsid w:val="00BB48E6"/>
    <w:rsid w:val="00BC2603"/>
    <w:rsid w:val="00BC3F45"/>
    <w:rsid w:val="00BD13A0"/>
    <w:rsid w:val="00BD20CF"/>
    <w:rsid w:val="00BE264C"/>
    <w:rsid w:val="00BE3313"/>
    <w:rsid w:val="00BE7B4D"/>
    <w:rsid w:val="00BF24E0"/>
    <w:rsid w:val="00C13DBF"/>
    <w:rsid w:val="00C2719B"/>
    <w:rsid w:val="00C32FC5"/>
    <w:rsid w:val="00C421F7"/>
    <w:rsid w:val="00C47623"/>
    <w:rsid w:val="00C50DD6"/>
    <w:rsid w:val="00C50FEE"/>
    <w:rsid w:val="00C53A24"/>
    <w:rsid w:val="00C60883"/>
    <w:rsid w:val="00C62C99"/>
    <w:rsid w:val="00C7700C"/>
    <w:rsid w:val="00C808C4"/>
    <w:rsid w:val="00C85585"/>
    <w:rsid w:val="00CA641B"/>
    <w:rsid w:val="00CA67AE"/>
    <w:rsid w:val="00CA77A0"/>
    <w:rsid w:val="00CB4108"/>
    <w:rsid w:val="00CB5567"/>
    <w:rsid w:val="00CF2FEF"/>
    <w:rsid w:val="00D178D3"/>
    <w:rsid w:val="00D2138B"/>
    <w:rsid w:val="00D22E08"/>
    <w:rsid w:val="00D23D3F"/>
    <w:rsid w:val="00D27AAF"/>
    <w:rsid w:val="00D32EAF"/>
    <w:rsid w:val="00D621F4"/>
    <w:rsid w:val="00D647C2"/>
    <w:rsid w:val="00D75697"/>
    <w:rsid w:val="00D8028E"/>
    <w:rsid w:val="00D818FC"/>
    <w:rsid w:val="00D957D6"/>
    <w:rsid w:val="00DA1AFD"/>
    <w:rsid w:val="00DB4B0D"/>
    <w:rsid w:val="00DC7898"/>
    <w:rsid w:val="00DE0826"/>
    <w:rsid w:val="00DE1505"/>
    <w:rsid w:val="00DF0990"/>
    <w:rsid w:val="00DF6028"/>
    <w:rsid w:val="00E0061D"/>
    <w:rsid w:val="00E10D7E"/>
    <w:rsid w:val="00E30CB8"/>
    <w:rsid w:val="00E34BD3"/>
    <w:rsid w:val="00E3634C"/>
    <w:rsid w:val="00E3762F"/>
    <w:rsid w:val="00E571CB"/>
    <w:rsid w:val="00E572A1"/>
    <w:rsid w:val="00E66452"/>
    <w:rsid w:val="00E80753"/>
    <w:rsid w:val="00E83D96"/>
    <w:rsid w:val="00E86C36"/>
    <w:rsid w:val="00EA2973"/>
    <w:rsid w:val="00EB3BAC"/>
    <w:rsid w:val="00EB6031"/>
    <w:rsid w:val="00EC1603"/>
    <w:rsid w:val="00EC507B"/>
    <w:rsid w:val="00ED4C26"/>
    <w:rsid w:val="00EF3567"/>
    <w:rsid w:val="00EF5177"/>
    <w:rsid w:val="00EF6BB5"/>
    <w:rsid w:val="00F00F0A"/>
    <w:rsid w:val="00F15C7F"/>
    <w:rsid w:val="00F20BCD"/>
    <w:rsid w:val="00F21B71"/>
    <w:rsid w:val="00F27EA8"/>
    <w:rsid w:val="00F41990"/>
    <w:rsid w:val="00F44D19"/>
    <w:rsid w:val="00F50E63"/>
    <w:rsid w:val="00F55458"/>
    <w:rsid w:val="00F57F23"/>
    <w:rsid w:val="00F65666"/>
    <w:rsid w:val="00F678A8"/>
    <w:rsid w:val="00F70EEE"/>
    <w:rsid w:val="00F7758F"/>
    <w:rsid w:val="00F77DD9"/>
    <w:rsid w:val="00F81166"/>
    <w:rsid w:val="00F86B0F"/>
    <w:rsid w:val="00F9303F"/>
    <w:rsid w:val="00FC00BD"/>
    <w:rsid w:val="00FC1537"/>
    <w:rsid w:val="00FD5CB6"/>
    <w:rsid w:val="00FE10ED"/>
    <w:rsid w:val="00FE11DC"/>
    <w:rsid w:val="00FE45E1"/>
    <w:rsid w:val="00FE47A2"/>
    <w:rsid w:val="00FE4F39"/>
    <w:rsid w:val="00FE7D5A"/>
    <w:rsid w:val="00FF0F03"/>
    <w:rsid w:val="6AC0F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5E00AAF"/>
  <w15:chartTrackingRefBased/>
  <w15:docId w15:val="{B9971267-3858-44FB-BF18-435745D1F9C5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Arial" w:hAnsi="Arial" w:cs="Arial" w:eastAsiaTheme="minorHAnsi"/>
        <w:sz w:val="24"/>
        <w:szCs w:val="24"/>
        <w:lang w:val="en-GB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61AD1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61AD1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61AD1"/>
    <w:pPr>
      <w:keepNext/>
      <w:keepLines/>
      <w:spacing w:before="160" w:after="80"/>
      <w:outlineLvl w:val="2"/>
    </w:pPr>
    <w:rPr>
      <w:rFonts w:asciiTheme="minorHAnsi" w:hAnsiTheme="minorHAnsi"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61AD1"/>
    <w:pPr>
      <w:keepNext/>
      <w:keepLines/>
      <w:spacing w:before="80" w:after="40"/>
      <w:outlineLvl w:val="3"/>
    </w:pPr>
    <w:rPr>
      <w:rFonts w:asciiTheme="minorHAnsi" w:hAnsiTheme="minorHAnsi"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61AD1"/>
    <w:pPr>
      <w:keepNext/>
      <w:keepLines/>
      <w:spacing w:before="80" w:after="40"/>
      <w:outlineLvl w:val="4"/>
    </w:pPr>
    <w:rPr>
      <w:rFonts w:asciiTheme="minorHAnsi" w:hAnsiTheme="minorHAnsi"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61AD1"/>
    <w:pPr>
      <w:keepNext/>
      <w:keepLines/>
      <w:spacing w:before="40"/>
      <w:outlineLvl w:val="5"/>
    </w:pPr>
    <w:rPr>
      <w:rFonts w:asciiTheme="minorHAnsi" w:hAnsiTheme="minorHAnsi"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61AD1"/>
    <w:pPr>
      <w:keepNext/>
      <w:keepLines/>
      <w:spacing w:before="40"/>
      <w:outlineLvl w:val="6"/>
    </w:pPr>
    <w:rPr>
      <w:rFonts w:asciiTheme="minorHAnsi" w:hAnsiTheme="minorHAnsi"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61AD1"/>
    <w:pPr>
      <w:keepNext/>
      <w:keepLines/>
      <w:outlineLvl w:val="7"/>
    </w:pPr>
    <w:rPr>
      <w:rFonts w:asciiTheme="minorHAnsi" w:hAnsiTheme="minorHAnsi"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61AD1"/>
    <w:pPr>
      <w:keepNext/>
      <w:keepLines/>
      <w:outlineLvl w:val="8"/>
    </w:pPr>
    <w:rPr>
      <w:rFonts w:asciiTheme="minorHAnsi" w:hAnsiTheme="minorHAnsi"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261AD1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261AD1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261AD1"/>
    <w:rPr>
      <w:rFonts w:asciiTheme="minorHAnsi" w:hAnsiTheme="minorHAnsi"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261AD1"/>
    <w:rPr>
      <w:rFonts w:asciiTheme="minorHAnsi" w:hAnsiTheme="minorHAnsi"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261AD1"/>
    <w:rPr>
      <w:rFonts w:asciiTheme="minorHAnsi" w:hAnsiTheme="minorHAnsi"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261AD1"/>
    <w:rPr>
      <w:rFonts w:asciiTheme="minorHAnsi" w:hAnsiTheme="minorHAnsi"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261AD1"/>
    <w:rPr>
      <w:rFonts w:asciiTheme="minorHAnsi" w:hAnsiTheme="minorHAnsi"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261AD1"/>
    <w:rPr>
      <w:rFonts w:asciiTheme="minorHAnsi" w:hAnsiTheme="minorHAnsi"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261AD1"/>
    <w:rPr>
      <w:rFonts w:asciiTheme="minorHAnsi" w:hAnsiTheme="minorHAnsi"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61AD1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261AD1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61AD1"/>
    <w:pPr>
      <w:numPr>
        <w:ilvl w:val="1"/>
      </w:numPr>
      <w:spacing w:after="160"/>
    </w:pPr>
    <w:rPr>
      <w:rFonts w:asciiTheme="minorHAnsi" w:hAnsiTheme="minorHAnsi"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261AD1"/>
    <w:rPr>
      <w:rFonts w:asciiTheme="minorHAnsi" w:hAnsiTheme="minorHAnsi"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61AD1"/>
    <w:pPr>
      <w:spacing w:before="160" w:after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261AD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61AD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61AD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61AD1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261AD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61AD1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C1010"/>
    <w:pPr>
      <w:tabs>
        <w:tab w:val="center" w:pos="4513"/>
        <w:tab w:val="right" w:pos="9026"/>
      </w:tabs>
      <w:spacing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7C1010"/>
  </w:style>
  <w:style w:type="paragraph" w:styleId="Footer">
    <w:name w:val="footer"/>
    <w:basedOn w:val="Normal"/>
    <w:link w:val="FooterChar"/>
    <w:uiPriority w:val="99"/>
    <w:unhideWhenUsed/>
    <w:rsid w:val="007C1010"/>
    <w:pPr>
      <w:tabs>
        <w:tab w:val="center" w:pos="4513"/>
        <w:tab w:val="right" w:pos="9026"/>
      </w:tabs>
      <w:spacing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7C1010"/>
  </w:style>
  <w:style w:type="paragraph" w:styleId="Default" w:customStyle="1">
    <w:name w:val="Default"/>
    <w:rsid w:val="000C4FBD"/>
    <w:pPr>
      <w:autoSpaceDE w:val="0"/>
      <w:autoSpaceDN w:val="0"/>
      <w:adjustRightInd w:val="0"/>
      <w:spacing w:line="240" w:lineRule="auto"/>
    </w:pPr>
    <w:rPr>
      <w:color w:val="000000"/>
    </w:rPr>
  </w:style>
  <w:style w:type="table" w:styleId="TableGrid">
    <w:name w:val="Table Grid"/>
    <w:basedOn w:val="TableNormal"/>
    <w:uiPriority w:val="39"/>
    <w:rsid w:val="0059219F"/>
    <w:pPr>
      <w:spacing w:line="240" w:lineRule="auto"/>
    </w:pPr>
    <w:rPr>
      <w:rFonts w:asciiTheme="minorHAnsi" w:hAnsiTheme="minorHAnsi" w:cstheme="minorBidi"/>
      <w:kern w:val="2"/>
      <w:sz w:val="22"/>
      <w:szCs w:val="22"/>
      <w14:ligatures w14:val="standardContextual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844EC6-ECBD-4DE4-9649-4F83059EFC07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Graham Round</dc:creator>
  <keywords/>
  <dc:description/>
  <lastModifiedBy>Guest User</lastModifiedBy>
  <revision>370</revision>
  <dcterms:created xsi:type="dcterms:W3CDTF">2026-03-30T11:04:00.0000000Z</dcterms:created>
  <dcterms:modified xsi:type="dcterms:W3CDTF">2026-06-09T16:54:55.9936223Z</dcterms:modified>
</coreProperties>
</file>